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CD" w:rsidRPr="00340340" w:rsidRDefault="00E810CD" w:rsidP="00A76D6C">
      <w:pPr>
        <w:tabs>
          <w:tab w:val="left" w:pos="5683"/>
        </w:tabs>
        <w:spacing w:line="1400" w:lineRule="exact"/>
        <w:jc w:val="center"/>
        <w:rPr>
          <w:rFonts w:ascii="华文新魏" w:eastAsia="华文新魏"/>
          <w:spacing w:val="140"/>
          <w:sz w:val="144"/>
        </w:rPr>
      </w:pPr>
      <w:r w:rsidRPr="00340340">
        <w:rPr>
          <w:rFonts w:ascii="华文新魏" w:eastAsia="华文新魏" w:hint="eastAsia"/>
          <w:spacing w:val="140"/>
          <w:sz w:val="144"/>
        </w:rPr>
        <w:t>商会信息</w:t>
      </w:r>
    </w:p>
    <w:p w:rsidR="00E810CD" w:rsidRPr="00340340" w:rsidRDefault="00E810CD" w:rsidP="00A76D6C">
      <w:pPr>
        <w:spacing w:line="600" w:lineRule="atLeast"/>
        <w:jc w:val="center"/>
        <w:rPr>
          <w:rFonts w:ascii="楷体" w:eastAsia="楷体" w:hAnsi="楷体"/>
          <w:sz w:val="18"/>
        </w:rPr>
      </w:pPr>
    </w:p>
    <w:p w:rsidR="00E810CD" w:rsidRPr="00340340" w:rsidRDefault="00E810CD" w:rsidP="00A76D6C">
      <w:pPr>
        <w:spacing w:line="600" w:lineRule="atLeast"/>
        <w:jc w:val="center"/>
        <w:rPr>
          <w:rFonts w:ascii="黑体" w:eastAsia="黑体"/>
          <w:sz w:val="36"/>
        </w:rPr>
      </w:pPr>
      <w:r w:rsidRPr="00340340">
        <w:rPr>
          <w:rFonts w:ascii="黑体" w:eastAsia="黑体" w:hint="eastAsia"/>
          <w:sz w:val="36"/>
        </w:rPr>
        <w:t>第</w:t>
      </w:r>
      <w:r w:rsidR="005157C4" w:rsidRPr="00340340">
        <w:rPr>
          <w:rFonts w:ascii="黑体" w:eastAsia="黑体" w:hint="eastAsia"/>
          <w:sz w:val="36"/>
        </w:rPr>
        <w:t>1</w:t>
      </w:r>
      <w:r w:rsidR="000E725D" w:rsidRPr="00340340">
        <w:rPr>
          <w:rFonts w:ascii="黑体" w:eastAsia="黑体" w:hint="eastAsia"/>
          <w:sz w:val="36"/>
        </w:rPr>
        <w:t>2</w:t>
      </w:r>
      <w:r w:rsidRPr="00340340">
        <w:rPr>
          <w:rFonts w:ascii="黑体" w:eastAsia="黑体" w:hint="eastAsia"/>
          <w:sz w:val="36"/>
        </w:rPr>
        <w:t>期</w:t>
      </w:r>
      <w:r w:rsidRPr="00340340">
        <w:rPr>
          <w:rFonts w:hint="eastAsia"/>
          <w:sz w:val="36"/>
        </w:rPr>
        <w:t>(总第4</w:t>
      </w:r>
      <w:r w:rsidR="0089048E" w:rsidRPr="00340340">
        <w:rPr>
          <w:rFonts w:hint="eastAsia"/>
          <w:sz w:val="36"/>
        </w:rPr>
        <w:t>9</w:t>
      </w:r>
      <w:r w:rsidR="000E725D" w:rsidRPr="00340340">
        <w:rPr>
          <w:rFonts w:hint="eastAsia"/>
          <w:sz w:val="36"/>
        </w:rPr>
        <w:t>6</w:t>
      </w:r>
      <w:r w:rsidRPr="00340340">
        <w:rPr>
          <w:rFonts w:hint="eastAsia"/>
          <w:sz w:val="36"/>
        </w:rPr>
        <w:t>期)</w:t>
      </w:r>
    </w:p>
    <w:p w:rsidR="00E810CD" w:rsidRPr="00340340" w:rsidRDefault="00E810CD" w:rsidP="00A76D6C">
      <w:pPr>
        <w:pStyle w:val="a5"/>
        <w:pBdr>
          <w:bottom w:val="none" w:sz="0" w:space="0" w:color="auto"/>
        </w:pBdr>
        <w:tabs>
          <w:tab w:val="clear" w:pos="4153"/>
          <w:tab w:val="clear" w:pos="8306"/>
        </w:tabs>
        <w:snapToGrid/>
        <w:spacing w:line="400" w:lineRule="exact"/>
        <w:jc w:val="center"/>
        <w:rPr>
          <w:rFonts w:ascii="黑体" w:eastAsia="黑体"/>
          <w:szCs w:val="24"/>
        </w:rPr>
      </w:pPr>
    </w:p>
    <w:p w:rsidR="00E810CD" w:rsidRPr="00340340" w:rsidRDefault="003306BD" w:rsidP="00A76D6C">
      <w:pPr>
        <w:spacing w:line="400" w:lineRule="exact"/>
        <w:jc w:val="center"/>
        <w:rPr>
          <w:rFonts w:ascii="华文新魏" w:eastAsia="华文新魏"/>
          <w:sz w:val="30"/>
          <w:u w:color="000000"/>
        </w:rPr>
      </w:pPr>
      <w:r w:rsidRPr="00340340">
        <w:rPr>
          <w:rFonts w:ascii="华文新魏" w:eastAsia="华文新魏"/>
          <w:sz w:val="30"/>
        </w:rPr>
        <w:pict>
          <v:line id="Line 2" o:spid="_x0000_s1029" style="position:absolute;left:0;text-align:left;z-index:251658240" from="0,20.4pt" to="414pt,20.4pt" strokeweight="2.25pt"/>
        </w:pict>
      </w:r>
      <w:r w:rsidR="00E810CD" w:rsidRPr="00340340">
        <w:rPr>
          <w:rFonts w:ascii="华文新魏" w:eastAsia="华文新魏" w:hint="eastAsia"/>
          <w:sz w:val="30"/>
          <w:u w:color="000000"/>
        </w:rPr>
        <w:t>中国商业联合会办公室编                201</w:t>
      </w:r>
      <w:r w:rsidR="00603E47" w:rsidRPr="00340340">
        <w:rPr>
          <w:rFonts w:ascii="华文新魏" w:eastAsia="华文新魏" w:hint="eastAsia"/>
          <w:sz w:val="30"/>
          <w:u w:color="000000"/>
        </w:rPr>
        <w:t>9</w:t>
      </w:r>
      <w:r w:rsidR="00E810CD" w:rsidRPr="00340340">
        <w:rPr>
          <w:rFonts w:ascii="华文新魏" w:eastAsia="华文新魏" w:hint="eastAsia"/>
          <w:sz w:val="30"/>
          <w:u w:color="000000"/>
        </w:rPr>
        <w:t>年</w:t>
      </w:r>
      <w:r w:rsidR="005157C4" w:rsidRPr="00340340">
        <w:rPr>
          <w:rFonts w:ascii="华文新魏" w:eastAsia="华文新魏" w:hint="eastAsia"/>
          <w:sz w:val="30"/>
          <w:u w:color="000000"/>
        </w:rPr>
        <w:t>6</w:t>
      </w:r>
      <w:r w:rsidR="00E810CD" w:rsidRPr="00340340">
        <w:rPr>
          <w:rFonts w:ascii="华文新魏" w:eastAsia="华文新魏" w:hint="eastAsia"/>
          <w:sz w:val="30"/>
          <w:u w:color="000000"/>
        </w:rPr>
        <w:t>月</w:t>
      </w:r>
      <w:r w:rsidR="000E725D" w:rsidRPr="00340340">
        <w:rPr>
          <w:rFonts w:ascii="华文新魏" w:eastAsia="华文新魏" w:hint="eastAsia"/>
          <w:sz w:val="30"/>
          <w:u w:color="000000"/>
        </w:rPr>
        <w:t>25</w:t>
      </w:r>
      <w:r w:rsidR="00E810CD" w:rsidRPr="00340340">
        <w:rPr>
          <w:rFonts w:ascii="华文新魏" w:eastAsia="华文新魏" w:hint="eastAsia"/>
          <w:sz w:val="30"/>
          <w:u w:color="000000"/>
        </w:rPr>
        <w:t>日</w:t>
      </w:r>
    </w:p>
    <w:p w:rsidR="009C6EF9" w:rsidRPr="00340340" w:rsidRDefault="009C6EF9" w:rsidP="00A76D6C">
      <w:pPr>
        <w:spacing w:line="320" w:lineRule="exact"/>
        <w:jc w:val="center"/>
        <w:rPr>
          <w:rFonts w:ascii="黑体" w:eastAsia="黑体" w:hAnsi="黑体" w:cs="黑体"/>
          <w:sz w:val="36"/>
          <w:szCs w:val="36"/>
        </w:rPr>
      </w:pPr>
    </w:p>
    <w:p w:rsidR="00C77C80" w:rsidRPr="00340340" w:rsidRDefault="00C77C80" w:rsidP="00A76D6C">
      <w:pPr>
        <w:spacing w:line="320" w:lineRule="exact"/>
        <w:jc w:val="center"/>
        <w:rPr>
          <w:rFonts w:ascii="黑体" w:eastAsia="黑体" w:hAnsi="黑体" w:cs="黑体"/>
          <w:sz w:val="36"/>
          <w:szCs w:val="36"/>
        </w:rPr>
      </w:pPr>
    </w:p>
    <w:p w:rsidR="009C6EF9" w:rsidRPr="00340340" w:rsidRDefault="009C6EF9" w:rsidP="00A76D6C">
      <w:pPr>
        <w:spacing w:line="240" w:lineRule="exact"/>
        <w:jc w:val="center"/>
        <w:rPr>
          <w:rFonts w:ascii="黑体" w:eastAsia="黑体" w:hAnsi="黑体" w:cs="黑体"/>
          <w:sz w:val="36"/>
          <w:szCs w:val="36"/>
        </w:rPr>
      </w:pPr>
    </w:p>
    <w:p w:rsidR="009C6EF9" w:rsidRPr="00340340" w:rsidRDefault="009C6EF9" w:rsidP="00A76D6C">
      <w:pPr>
        <w:spacing w:line="400" w:lineRule="exact"/>
        <w:jc w:val="center"/>
        <w:rPr>
          <w:rFonts w:ascii="黑体" w:eastAsia="黑体"/>
          <w:sz w:val="36"/>
          <w:szCs w:val="36"/>
          <w:u w:color="FF0000"/>
        </w:rPr>
      </w:pPr>
      <w:r w:rsidRPr="00340340">
        <w:rPr>
          <w:rFonts w:ascii="黑体" w:eastAsia="黑体" w:hint="eastAsia"/>
          <w:sz w:val="36"/>
          <w:szCs w:val="36"/>
          <w:u w:color="FF0000"/>
        </w:rPr>
        <w:t>本  期  目  录</w:t>
      </w:r>
    </w:p>
    <w:p w:rsidR="009C6EF9" w:rsidRPr="00340340" w:rsidRDefault="009C6EF9" w:rsidP="00A20159">
      <w:pPr>
        <w:spacing w:line="320" w:lineRule="exact"/>
        <w:jc w:val="both"/>
        <w:rPr>
          <w:rFonts w:ascii="黑体" w:eastAsia="黑体"/>
          <w:sz w:val="36"/>
          <w:szCs w:val="36"/>
          <w:u w:color="FF0000"/>
        </w:rPr>
      </w:pPr>
    </w:p>
    <w:p w:rsidR="00C77C80" w:rsidRPr="00340340" w:rsidRDefault="00C77C80" w:rsidP="000E7B03">
      <w:pPr>
        <w:spacing w:line="320" w:lineRule="exact"/>
        <w:jc w:val="both"/>
        <w:rPr>
          <w:rFonts w:ascii="黑体" w:eastAsia="黑体"/>
          <w:sz w:val="36"/>
          <w:szCs w:val="36"/>
          <w:u w:color="FF0000"/>
        </w:rPr>
      </w:pPr>
    </w:p>
    <w:p w:rsidR="00C77C80" w:rsidRPr="00340340" w:rsidRDefault="00C77C80" w:rsidP="00B54F9E">
      <w:pPr>
        <w:pStyle w:val="a8"/>
        <w:widowControl w:val="0"/>
        <w:shd w:val="clear" w:color="auto" w:fill="FFFFFF"/>
        <w:kinsoku w:val="0"/>
        <w:overflowPunct w:val="0"/>
        <w:autoSpaceDE w:val="0"/>
        <w:autoSpaceDN w:val="0"/>
        <w:spacing w:before="0" w:beforeAutospacing="0" w:after="0" w:afterAutospacing="0" w:line="380" w:lineRule="exact"/>
        <w:jc w:val="both"/>
        <w:rPr>
          <w:rFonts w:ascii="黑体" w:eastAsia="黑体" w:hAnsi="黑体"/>
          <w:sz w:val="28"/>
          <w:szCs w:val="28"/>
        </w:rPr>
      </w:pPr>
      <w:r w:rsidRPr="00340340">
        <w:rPr>
          <w:rFonts w:ascii="黑体" w:eastAsia="黑体" w:hAnsi="黑体" w:hint="eastAsia"/>
          <w:sz w:val="28"/>
          <w:szCs w:val="28"/>
        </w:rPr>
        <w:t>商会动态</w:t>
      </w:r>
    </w:p>
    <w:p w:rsidR="007E291F" w:rsidRPr="00340340" w:rsidRDefault="007E291F" w:rsidP="007E291F">
      <w:pPr>
        <w:pStyle w:val="a8"/>
        <w:widowControl w:val="0"/>
        <w:shd w:val="clear" w:color="auto" w:fill="FFFFFF"/>
        <w:kinsoku w:val="0"/>
        <w:overflowPunct w:val="0"/>
        <w:autoSpaceDE w:val="0"/>
        <w:autoSpaceDN w:val="0"/>
        <w:spacing w:before="0" w:beforeAutospacing="0" w:after="0" w:afterAutospacing="0" w:line="380" w:lineRule="exact"/>
        <w:rPr>
          <w:rFonts w:ascii="楷体" w:eastAsia="楷体" w:hAnsi="楷体"/>
          <w:bCs/>
          <w:sz w:val="28"/>
          <w:szCs w:val="28"/>
        </w:rPr>
      </w:pPr>
      <w:r w:rsidRPr="00340340">
        <w:rPr>
          <w:rFonts w:ascii="楷体" w:eastAsia="楷体" w:hAnsi="楷体" w:hint="eastAsia"/>
          <w:bCs/>
          <w:sz w:val="28"/>
          <w:szCs w:val="28"/>
        </w:rPr>
        <w:t xml:space="preserve">   中国商业联合会党委召开“不忘初心、牢记使命”主</w:t>
      </w:r>
    </w:p>
    <w:p w:rsidR="007E291F" w:rsidRPr="00340340" w:rsidRDefault="007E291F" w:rsidP="007E291F">
      <w:pPr>
        <w:pStyle w:val="a8"/>
        <w:widowControl w:val="0"/>
        <w:shd w:val="clear" w:color="auto" w:fill="FFFFFF"/>
        <w:kinsoku w:val="0"/>
        <w:overflowPunct w:val="0"/>
        <w:autoSpaceDE w:val="0"/>
        <w:autoSpaceDN w:val="0"/>
        <w:spacing w:before="0" w:beforeAutospacing="0" w:after="0" w:afterAutospacing="0" w:line="380" w:lineRule="exact"/>
        <w:ind w:firstLineChars="200" w:firstLine="560"/>
        <w:rPr>
          <w:rFonts w:ascii="楷体" w:eastAsia="楷体" w:hAnsi="楷体"/>
          <w:sz w:val="28"/>
          <w:szCs w:val="28"/>
        </w:rPr>
      </w:pPr>
      <w:r w:rsidRPr="00340340">
        <w:rPr>
          <w:rFonts w:ascii="楷体" w:eastAsia="楷体" w:hAnsi="楷体" w:hint="eastAsia"/>
          <w:bCs/>
          <w:sz w:val="28"/>
          <w:szCs w:val="28"/>
        </w:rPr>
        <w:t>题教育动员部署会议</w:t>
      </w:r>
      <w:r w:rsidRPr="00340340">
        <w:rPr>
          <w:rFonts w:ascii="楷体" w:eastAsia="楷体" w:hAnsi="楷体" w:hint="eastAsia"/>
          <w:sz w:val="28"/>
          <w:szCs w:val="28"/>
        </w:rPr>
        <w:t>………………………………………</w:t>
      </w:r>
      <w:r w:rsidRPr="00340340">
        <w:rPr>
          <w:rFonts w:ascii="方正楷体简体" w:eastAsia="方正楷体简体" w:hAnsi="楷体" w:cs="楷体_GB2312" w:hint="eastAsia"/>
          <w:sz w:val="28"/>
          <w:szCs w:val="28"/>
        </w:rPr>
        <w:t>（2）</w:t>
      </w:r>
    </w:p>
    <w:p w:rsidR="000E7B03"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ind w:leftChars="116" w:left="558" w:hangingChars="100" w:hanging="280"/>
        <w:jc w:val="both"/>
        <w:rPr>
          <w:rFonts w:ascii="楷体" w:eastAsia="楷体" w:hAnsi="楷体"/>
          <w:bCs/>
          <w:sz w:val="28"/>
          <w:szCs w:val="28"/>
        </w:rPr>
      </w:pPr>
      <w:r w:rsidRPr="00340340">
        <w:rPr>
          <w:rFonts w:ascii="楷体" w:eastAsia="楷体" w:hAnsi="楷体" w:hint="eastAsia"/>
          <w:bCs/>
          <w:sz w:val="28"/>
          <w:szCs w:val="28"/>
        </w:rPr>
        <w:t>姜明会长出席全国省（直辖市）商业联合会（总会）</w:t>
      </w:r>
    </w:p>
    <w:p w:rsidR="009D582C"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ind w:leftChars="232" w:left="557"/>
        <w:jc w:val="both"/>
        <w:rPr>
          <w:rFonts w:ascii="楷体" w:eastAsia="楷体" w:hAnsi="楷体"/>
          <w:sz w:val="28"/>
          <w:szCs w:val="28"/>
        </w:rPr>
      </w:pPr>
      <w:r w:rsidRPr="00340340">
        <w:rPr>
          <w:rFonts w:ascii="楷体" w:eastAsia="楷体" w:hAnsi="楷体" w:hint="eastAsia"/>
          <w:bCs/>
          <w:sz w:val="28"/>
          <w:szCs w:val="28"/>
        </w:rPr>
        <w:t>会长座谈会</w:t>
      </w:r>
      <w:r w:rsidR="00A15538" w:rsidRPr="00340340">
        <w:rPr>
          <w:rFonts w:ascii="楷体" w:eastAsia="楷体" w:hAnsi="楷体" w:hint="eastAsia"/>
          <w:sz w:val="28"/>
          <w:szCs w:val="28"/>
        </w:rPr>
        <w:t>…</w:t>
      </w:r>
      <w:r w:rsidR="000E1EDB" w:rsidRPr="00340340">
        <w:rPr>
          <w:rFonts w:ascii="楷体" w:eastAsia="楷体" w:hAnsi="楷体" w:hint="eastAsia"/>
          <w:sz w:val="28"/>
          <w:szCs w:val="28"/>
        </w:rPr>
        <w:t>…</w:t>
      </w:r>
      <w:r w:rsidR="00441DAE" w:rsidRPr="00340340">
        <w:rPr>
          <w:rFonts w:ascii="楷体" w:eastAsia="楷体" w:hAnsi="楷体" w:hint="eastAsia"/>
          <w:sz w:val="28"/>
          <w:szCs w:val="28"/>
        </w:rPr>
        <w:t>……………………</w:t>
      </w:r>
      <w:r w:rsidRPr="00340340">
        <w:rPr>
          <w:rFonts w:ascii="楷体" w:eastAsia="楷体" w:hAnsi="楷体" w:hint="eastAsia"/>
          <w:sz w:val="28"/>
          <w:szCs w:val="28"/>
        </w:rPr>
        <w:t>………………………</w:t>
      </w:r>
      <w:r w:rsidR="0043012D" w:rsidRPr="00340340">
        <w:rPr>
          <w:rFonts w:ascii="方正楷体简体" w:eastAsia="方正楷体简体" w:hAnsi="楷体" w:cs="楷体_GB2312" w:hint="eastAsia"/>
          <w:sz w:val="28"/>
          <w:szCs w:val="28"/>
        </w:rPr>
        <w:t>（</w:t>
      </w:r>
      <w:r w:rsidR="007E291F" w:rsidRPr="00340340">
        <w:rPr>
          <w:rFonts w:ascii="方正楷体简体" w:eastAsia="方正楷体简体" w:hAnsi="楷体" w:cs="楷体_GB2312" w:hint="eastAsia"/>
          <w:sz w:val="28"/>
          <w:szCs w:val="28"/>
        </w:rPr>
        <w:t>5</w:t>
      </w:r>
      <w:r w:rsidR="0043012D" w:rsidRPr="00340340">
        <w:rPr>
          <w:rFonts w:ascii="方正楷体简体" w:eastAsia="方正楷体简体" w:hAnsi="楷体" w:cs="楷体_GB2312" w:hint="eastAsia"/>
          <w:sz w:val="28"/>
          <w:szCs w:val="28"/>
        </w:rPr>
        <w:t>）</w:t>
      </w:r>
    </w:p>
    <w:p w:rsidR="000E7B03" w:rsidRPr="00340340" w:rsidRDefault="000E7B03" w:rsidP="00B54F9E">
      <w:pPr>
        <w:widowControl w:val="0"/>
        <w:kinsoku w:val="0"/>
        <w:overflowPunct w:val="0"/>
        <w:autoSpaceDE w:val="0"/>
        <w:autoSpaceDN w:val="0"/>
        <w:spacing w:line="380" w:lineRule="exact"/>
        <w:ind w:firstLineChars="100" w:firstLine="280"/>
        <w:jc w:val="both"/>
        <w:rPr>
          <w:rFonts w:ascii="楷体" w:eastAsia="楷体" w:hAnsi="楷体"/>
          <w:bCs/>
          <w:sz w:val="28"/>
          <w:szCs w:val="28"/>
        </w:rPr>
      </w:pPr>
      <w:r w:rsidRPr="00340340">
        <w:rPr>
          <w:rFonts w:ascii="楷体" w:eastAsia="楷体" w:hAnsi="楷体" w:hint="eastAsia"/>
          <w:bCs/>
          <w:sz w:val="28"/>
          <w:szCs w:val="28"/>
        </w:rPr>
        <w:t>傅龙成副会长出席旅居养老机构经营服务规范团体标</w:t>
      </w:r>
    </w:p>
    <w:p w:rsidR="00A15538"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ind w:leftChars="232" w:left="557"/>
        <w:jc w:val="both"/>
        <w:rPr>
          <w:rFonts w:ascii="楷体" w:eastAsia="楷体" w:hAnsi="楷体"/>
          <w:sz w:val="28"/>
          <w:szCs w:val="28"/>
        </w:rPr>
      </w:pPr>
      <w:r w:rsidRPr="00340340">
        <w:rPr>
          <w:rFonts w:ascii="楷体" w:eastAsia="楷体" w:hAnsi="楷体" w:hint="eastAsia"/>
          <w:bCs/>
          <w:sz w:val="28"/>
          <w:szCs w:val="28"/>
        </w:rPr>
        <w:t>准研讨会新闻发布会</w:t>
      </w:r>
      <w:r w:rsidR="00A15538" w:rsidRPr="00340340">
        <w:rPr>
          <w:rFonts w:ascii="楷体" w:eastAsia="楷体" w:hAnsi="楷体" w:hint="eastAsia"/>
          <w:bCs/>
          <w:sz w:val="28"/>
          <w:szCs w:val="28"/>
        </w:rPr>
        <w:t>……………………</w:t>
      </w:r>
      <w:r w:rsidR="00A15538" w:rsidRPr="00340340">
        <w:rPr>
          <w:rFonts w:ascii="楷体" w:eastAsia="楷体" w:hAnsi="楷体" w:hint="eastAsia"/>
          <w:sz w:val="28"/>
          <w:szCs w:val="28"/>
        </w:rPr>
        <w:t>……</w:t>
      </w:r>
      <w:r w:rsidR="00441DAE" w:rsidRPr="00340340">
        <w:rPr>
          <w:rFonts w:ascii="楷体" w:eastAsia="楷体" w:hAnsi="楷体" w:hint="eastAsia"/>
          <w:sz w:val="28"/>
          <w:szCs w:val="28"/>
        </w:rPr>
        <w:t>………</w:t>
      </w:r>
      <w:r w:rsidR="00E74B84" w:rsidRPr="00340340">
        <w:rPr>
          <w:rFonts w:ascii="楷体" w:eastAsia="楷体" w:hAnsi="楷体" w:hint="eastAsia"/>
          <w:sz w:val="28"/>
          <w:szCs w:val="28"/>
        </w:rPr>
        <w:t>…</w:t>
      </w:r>
      <w:r w:rsidRPr="00340340">
        <w:rPr>
          <w:rFonts w:ascii="楷体" w:eastAsia="楷体" w:hAnsi="楷体" w:hint="eastAsia"/>
          <w:sz w:val="28"/>
          <w:szCs w:val="28"/>
        </w:rPr>
        <w:t>…</w:t>
      </w:r>
      <w:r w:rsidR="0043012D" w:rsidRPr="00340340">
        <w:rPr>
          <w:rFonts w:ascii="方正楷体简体" w:eastAsia="方正楷体简体" w:hAnsi="楷体" w:cs="楷体_GB2312" w:hint="eastAsia"/>
          <w:sz w:val="28"/>
          <w:szCs w:val="28"/>
        </w:rPr>
        <w:t>（</w:t>
      </w:r>
      <w:r w:rsidR="007E291F" w:rsidRPr="00340340">
        <w:rPr>
          <w:rFonts w:ascii="方正楷体简体" w:eastAsia="方正楷体简体" w:hAnsi="楷体" w:cs="楷体_GB2312" w:hint="eastAsia"/>
          <w:sz w:val="28"/>
          <w:szCs w:val="28"/>
        </w:rPr>
        <w:t>6</w:t>
      </w:r>
      <w:r w:rsidR="0043012D" w:rsidRPr="00340340">
        <w:rPr>
          <w:rFonts w:ascii="方正楷体简体" w:eastAsia="方正楷体简体" w:hAnsi="楷体" w:cs="楷体_GB2312" w:hint="eastAsia"/>
          <w:sz w:val="28"/>
          <w:szCs w:val="28"/>
        </w:rPr>
        <w:t>）</w:t>
      </w:r>
    </w:p>
    <w:p w:rsidR="000E7B03" w:rsidRPr="00340340" w:rsidRDefault="00B54F9E" w:rsidP="00B54F9E">
      <w:pPr>
        <w:pStyle w:val="a8"/>
        <w:widowControl w:val="0"/>
        <w:shd w:val="clear" w:color="auto" w:fill="FFFFFF"/>
        <w:kinsoku w:val="0"/>
        <w:overflowPunct w:val="0"/>
        <w:autoSpaceDE w:val="0"/>
        <w:autoSpaceDN w:val="0"/>
        <w:spacing w:before="0" w:beforeAutospacing="0" w:after="0" w:afterAutospacing="0" w:line="380" w:lineRule="exact"/>
        <w:jc w:val="both"/>
        <w:rPr>
          <w:rFonts w:ascii="楷体" w:eastAsia="楷体" w:hAnsi="楷体"/>
          <w:sz w:val="28"/>
          <w:szCs w:val="28"/>
        </w:rPr>
      </w:pPr>
      <w:r w:rsidRPr="00340340">
        <w:rPr>
          <w:rFonts w:ascii="楷体" w:eastAsia="楷体" w:hAnsi="楷体" w:hint="eastAsia"/>
          <w:bCs/>
          <w:sz w:val="28"/>
          <w:szCs w:val="28"/>
        </w:rPr>
        <w:t xml:space="preserve">  </w:t>
      </w:r>
      <w:r w:rsidR="000E7B03" w:rsidRPr="00340340">
        <w:rPr>
          <w:rFonts w:ascii="楷体" w:eastAsia="楷体" w:hAnsi="楷体" w:hint="eastAsia"/>
          <w:bCs/>
          <w:sz w:val="28"/>
          <w:szCs w:val="28"/>
        </w:rPr>
        <w:t>周京英副书记参加2019中国义乌进口商品博览会</w:t>
      </w:r>
      <w:r w:rsidR="0043012D" w:rsidRPr="00340340">
        <w:rPr>
          <w:rFonts w:ascii="楷体" w:eastAsia="楷体" w:hAnsi="楷体" w:hint="eastAsia"/>
          <w:sz w:val="28"/>
          <w:szCs w:val="28"/>
        </w:rPr>
        <w:t>………</w:t>
      </w:r>
      <w:r w:rsidRPr="00340340">
        <w:rPr>
          <w:rFonts w:ascii="楷体" w:eastAsia="楷体" w:hAnsi="楷体" w:hint="eastAsia"/>
          <w:sz w:val="28"/>
          <w:szCs w:val="28"/>
        </w:rPr>
        <w:t>…</w:t>
      </w:r>
      <w:r w:rsidR="0043012D" w:rsidRPr="00340340">
        <w:rPr>
          <w:rFonts w:ascii="方正楷体简体" w:eastAsia="方正楷体简体" w:hAnsi="楷体" w:cs="楷体_GB2312" w:hint="eastAsia"/>
          <w:sz w:val="28"/>
          <w:szCs w:val="28"/>
        </w:rPr>
        <w:t>（</w:t>
      </w:r>
      <w:r w:rsidR="007E291F" w:rsidRPr="00340340">
        <w:rPr>
          <w:rFonts w:ascii="方正楷体简体" w:eastAsia="方正楷体简体" w:hAnsi="楷体" w:cs="楷体_GB2312" w:hint="eastAsia"/>
          <w:sz w:val="28"/>
          <w:szCs w:val="28"/>
        </w:rPr>
        <w:t>8</w:t>
      </w:r>
      <w:r w:rsidR="0043012D" w:rsidRPr="00340340">
        <w:rPr>
          <w:rFonts w:ascii="方正楷体简体" w:eastAsia="方正楷体简体" w:hAnsi="楷体" w:cs="楷体_GB2312" w:hint="eastAsia"/>
          <w:sz w:val="28"/>
          <w:szCs w:val="28"/>
        </w:rPr>
        <w:t>）</w:t>
      </w:r>
    </w:p>
    <w:p w:rsidR="000E7B03"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ind w:leftChars="116" w:left="558" w:hangingChars="100" w:hanging="280"/>
        <w:jc w:val="both"/>
        <w:rPr>
          <w:rFonts w:ascii="楷体" w:eastAsia="楷体" w:hAnsi="楷体"/>
          <w:bCs/>
          <w:sz w:val="28"/>
          <w:szCs w:val="28"/>
        </w:rPr>
      </w:pPr>
      <w:r w:rsidRPr="00340340">
        <w:rPr>
          <w:rFonts w:ascii="楷体" w:eastAsia="楷体" w:hAnsi="楷体" w:hint="eastAsia"/>
          <w:bCs/>
          <w:sz w:val="28"/>
          <w:szCs w:val="28"/>
        </w:rPr>
        <w:t>张丽君副会长出席《倡导尚德守信 优化营商环境》</w:t>
      </w:r>
    </w:p>
    <w:p w:rsidR="009D582C" w:rsidRPr="00340340" w:rsidRDefault="000E7B03" w:rsidP="007E291F">
      <w:pPr>
        <w:pStyle w:val="a8"/>
        <w:widowControl w:val="0"/>
        <w:shd w:val="clear" w:color="auto" w:fill="FFFFFF"/>
        <w:kinsoku w:val="0"/>
        <w:overflowPunct w:val="0"/>
        <w:autoSpaceDE w:val="0"/>
        <w:autoSpaceDN w:val="0"/>
        <w:spacing w:before="0" w:beforeAutospacing="0" w:after="0" w:afterAutospacing="0" w:line="380" w:lineRule="exact"/>
        <w:ind w:leftChars="232" w:left="557"/>
        <w:jc w:val="both"/>
        <w:rPr>
          <w:rFonts w:ascii="楷体" w:eastAsia="楷体" w:hAnsi="楷体"/>
          <w:sz w:val="28"/>
          <w:szCs w:val="28"/>
        </w:rPr>
      </w:pPr>
      <w:r w:rsidRPr="00340340">
        <w:rPr>
          <w:rFonts w:ascii="楷体" w:eastAsia="楷体" w:hAnsi="楷体" w:hint="eastAsia"/>
          <w:bCs/>
          <w:sz w:val="28"/>
          <w:szCs w:val="28"/>
        </w:rPr>
        <w:t>专题研会</w:t>
      </w:r>
      <w:r w:rsidR="00A15538" w:rsidRPr="00340340">
        <w:rPr>
          <w:rFonts w:ascii="楷体" w:eastAsia="楷体" w:hAnsi="楷体" w:hint="eastAsia"/>
          <w:bCs/>
          <w:sz w:val="28"/>
          <w:szCs w:val="28"/>
        </w:rPr>
        <w:t>…</w:t>
      </w:r>
      <w:r w:rsidR="00A15538" w:rsidRPr="00340340">
        <w:rPr>
          <w:rFonts w:ascii="楷体" w:eastAsia="楷体" w:hAnsi="楷体" w:hint="eastAsia"/>
          <w:sz w:val="28"/>
          <w:szCs w:val="28"/>
        </w:rPr>
        <w:t>……</w:t>
      </w:r>
      <w:r w:rsidRPr="00340340">
        <w:rPr>
          <w:rFonts w:ascii="楷体" w:eastAsia="楷体" w:hAnsi="楷体" w:hint="eastAsia"/>
          <w:sz w:val="28"/>
          <w:szCs w:val="28"/>
        </w:rPr>
        <w:t>……………………………………………</w:t>
      </w:r>
      <w:r w:rsidR="0043012D" w:rsidRPr="00340340">
        <w:rPr>
          <w:rFonts w:ascii="方正楷体简体" w:eastAsia="方正楷体简体" w:hAnsi="楷体" w:cs="楷体_GB2312" w:hint="eastAsia"/>
          <w:sz w:val="28"/>
          <w:szCs w:val="28"/>
        </w:rPr>
        <w:t>（</w:t>
      </w:r>
      <w:r w:rsidR="007E291F" w:rsidRPr="00340340">
        <w:rPr>
          <w:rFonts w:ascii="方正楷体简体" w:eastAsia="方正楷体简体" w:hAnsi="楷体" w:cs="楷体_GB2312" w:hint="eastAsia"/>
          <w:sz w:val="28"/>
          <w:szCs w:val="28"/>
        </w:rPr>
        <w:t>10</w:t>
      </w:r>
      <w:r w:rsidR="0043012D" w:rsidRPr="00340340">
        <w:rPr>
          <w:rFonts w:ascii="方正楷体简体" w:eastAsia="方正楷体简体" w:hAnsi="楷体" w:cs="楷体_GB2312" w:hint="eastAsia"/>
          <w:sz w:val="28"/>
          <w:szCs w:val="28"/>
        </w:rPr>
        <w:t>）</w:t>
      </w:r>
    </w:p>
    <w:p w:rsidR="000E7B03"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jc w:val="both"/>
        <w:rPr>
          <w:rFonts w:ascii="楷体" w:eastAsia="楷体" w:hAnsi="楷体"/>
          <w:sz w:val="28"/>
          <w:szCs w:val="28"/>
        </w:rPr>
      </w:pPr>
      <w:r w:rsidRPr="00340340">
        <w:rPr>
          <w:rFonts w:ascii="黑体" w:eastAsia="黑体" w:hAnsi="黑体" w:hint="eastAsia"/>
          <w:sz w:val="28"/>
          <w:szCs w:val="28"/>
        </w:rPr>
        <w:t>协会动态</w:t>
      </w:r>
    </w:p>
    <w:p w:rsidR="009D582C"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ind w:firstLineChars="100" w:firstLine="280"/>
        <w:rPr>
          <w:rFonts w:ascii="楷体" w:eastAsia="楷体" w:hAnsi="楷体"/>
          <w:sz w:val="28"/>
          <w:szCs w:val="28"/>
        </w:rPr>
      </w:pPr>
      <w:r w:rsidRPr="00340340">
        <w:rPr>
          <w:rFonts w:ascii="楷体" w:eastAsia="楷体" w:hAnsi="楷体" w:hint="eastAsia"/>
          <w:bCs/>
          <w:sz w:val="28"/>
          <w:szCs w:val="28"/>
        </w:rPr>
        <w:t>中国连锁经营协会发布2018年中国连锁百强</w:t>
      </w:r>
      <w:r w:rsidR="00441DAE" w:rsidRPr="00340340">
        <w:rPr>
          <w:rFonts w:ascii="楷体" w:eastAsia="楷体" w:hAnsi="楷体" w:hint="eastAsia"/>
          <w:sz w:val="28"/>
          <w:szCs w:val="28"/>
        </w:rPr>
        <w:t>……………</w:t>
      </w:r>
      <w:r w:rsidR="0043012D" w:rsidRPr="00340340">
        <w:rPr>
          <w:rFonts w:ascii="楷体" w:eastAsia="楷体" w:hAnsi="楷体" w:hint="eastAsia"/>
          <w:sz w:val="28"/>
          <w:szCs w:val="28"/>
        </w:rPr>
        <w:t>…</w:t>
      </w:r>
      <w:r w:rsidR="0043012D" w:rsidRPr="00340340">
        <w:rPr>
          <w:rFonts w:ascii="方正楷体简体" w:eastAsia="方正楷体简体" w:hAnsi="楷体" w:cs="楷体_GB2312" w:hint="eastAsia"/>
          <w:sz w:val="28"/>
          <w:szCs w:val="28"/>
        </w:rPr>
        <w:t>（1</w:t>
      </w:r>
      <w:r w:rsidR="00A44567" w:rsidRPr="00340340">
        <w:rPr>
          <w:rFonts w:ascii="方正楷体简体" w:eastAsia="方正楷体简体" w:hAnsi="楷体" w:cs="楷体_GB2312" w:hint="eastAsia"/>
          <w:sz w:val="28"/>
          <w:szCs w:val="28"/>
        </w:rPr>
        <w:t>1</w:t>
      </w:r>
      <w:r w:rsidR="0043012D" w:rsidRPr="00340340">
        <w:rPr>
          <w:rFonts w:ascii="方正楷体简体" w:eastAsia="方正楷体简体" w:hAnsi="楷体" w:cs="楷体_GB2312" w:hint="eastAsia"/>
          <w:sz w:val="28"/>
          <w:szCs w:val="28"/>
        </w:rPr>
        <w:t>）</w:t>
      </w:r>
    </w:p>
    <w:p w:rsidR="000E7B03"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jc w:val="both"/>
        <w:rPr>
          <w:rFonts w:ascii="楷体" w:eastAsia="楷体" w:hAnsi="楷体"/>
          <w:sz w:val="28"/>
          <w:szCs w:val="28"/>
        </w:rPr>
      </w:pPr>
      <w:r w:rsidRPr="00340340">
        <w:rPr>
          <w:rFonts w:ascii="黑体" w:eastAsia="黑体" w:hAnsi="黑体" w:hint="eastAsia"/>
          <w:sz w:val="28"/>
          <w:szCs w:val="28"/>
        </w:rPr>
        <w:t>地方商会</w:t>
      </w:r>
    </w:p>
    <w:p w:rsidR="000E7B03"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ind w:firstLineChars="100" w:firstLine="280"/>
        <w:jc w:val="both"/>
        <w:rPr>
          <w:rFonts w:ascii="楷体" w:eastAsia="楷体" w:hAnsi="楷体"/>
          <w:bCs/>
          <w:sz w:val="28"/>
          <w:szCs w:val="28"/>
        </w:rPr>
      </w:pPr>
      <w:r w:rsidRPr="00340340">
        <w:rPr>
          <w:rFonts w:ascii="楷体" w:eastAsia="楷体" w:hAnsi="楷体" w:hint="eastAsia"/>
          <w:bCs/>
          <w:sz w:val="28"/>
          <w:szCs w:val="28"/>
        </w:rPr>
        <w:t>天津市商业联合会举办“不忘初心、牢记使命”主题</w:t>
      </w:r>
    </w:p>
    <w:p w:rsidR="009D582C"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ind w:firstLineChars="200" w:firstLine="560"/>
        <w:rPr>
          <w:rFonts w:ascii="楷体" w:eastAsia="楷体" w:hAnsi="楷体"/>
          <w:sz w:val="28"/>
          <w:szCs w:val="28"/>
        </w:rPr>
      </w:pPr>
      <w:r w:rsidRPr="00340340">
        <w:rPr>
          <w:rFonts w:ascii="楷体" w:eastAsia="楷体" w:hAnsi="楷体" w:hint="eastAsia"/>
          <w:bCs/>
          <w:sz w:val="28"/>
          <w:szCs w:val="28"/>
        </w:rPr>
        <w:t>教育活动暨五届一次会长扩大会</w:t>
      </w:r>
      <w:r w:rsidR="00441DAE" w:rsidRPr="00340340">
        <w:rPr>
          <w:rFonts w:ascii="楷体" w:eastAsia="楷体" w:hAnsi="楷体" w:hint="eastAsia"/>
          <w:sz w:val="28"/>
          <w:szCs w:val="28"/>
        </w:rPr>
        <w:t>…………………</w:t>
      </w:r>
      <w:r w:rsidR="00CE4943" w:rsidRPr="00340340">
        <w:rPr>
          <w:rFonts w:ascii="楷体" w:eastAsia="楷体" w:hAnsi="楷体" w:hint="eastAsia"/>
          <w:sz w:val="28"/>
          <w:szCs w:val="28"/>
        </w:rPr>
        <w:t>……</w:t>
      </w:r>
      <w:r w:rsidR="004E75D0" w:rsidRPr="00340340">
        <w:rPr>
          <w:rFonts w:ascii="楷体" w:eastAsia="楷体" w:hAnsi="楷体" w:hint="eastAsia"/>
          <w:sz w:val="28"/>
          <w:szCs w:val="28"/>
        </w:rPr>
        <w:t>…</w:t>
      </w:r>
      <w:r w:rsidR="0043012D" w:rsidRPr="00340340">
        <w:rPr>
          <w:rFonts w:ascii="方正楷体简体" w:eastAsia="方正楷体简体" w:hAnsi="楷体" w:cs="楷体_GB2312" w:hint="eastAsia"/>
          <w:sz w:val="28"/>
          <w:szCs w:val="28"/>
        </w:rPr>
        <w:t>（20）</w:t>
      </w:r>
    </w:p>
    <w:p w:rsidR="00E74B84" w:rsidRPr="00340340" w:rsidRDefault="00E74B84" w:rsidP="00B54F9E">
      <w:pPr>
        <w:pStyle w:val="a8"/>
        <w:widowControl w:val="0"/>
        <w:shd w:val="clear" w:color="auto" w:fill="FFFFFF"/>
        <w:kinsoku w:val="0"/>
        <w:overflowPunct w:val="0"/>
        <w:autoSpaceDE w:val="0"/>
        <w:autoSpaceDN w:val="0"/>
        <w:spacing w:before="0" w:beforeAutospacing="0" w:after="0" w:afterAutospacing="0" w:line="380" w:lineRule="exact"/>
        <w:rPr>
          <w:rFonts w:ascii="黑体" w:eastAsia="黑体" w:hAnsi="黑体"/>
          <w:sz w:val="28"/>
          <w:szCs w:val="28"/>
        </w:rPr>
      </w:pPr>
      <w:r w:rsidRPr="00340340">
        <w:rPr>
          <w:rFonts w:ascii="黑体" w:eastAsia="黑体" w:hAnsi="黑体" w:hint="eastAsia"/>
          <w:sz w:val="28"/>
          <w:szCs w:val="28"/>
        </w:rPr>
        <w:t>信息传真</w:t>
      </w:r>
    </w:p>
    <w:p w:rsidR="00E74B84" w:rsidRPr="00340340" w:rsidRDefault="000E7B03" w:rsidP="00B54F9E">
      <w:pPr>
        <w:pStyle w:val="a8"/>
        <w:widowControl w:val="0"/>
        <w:shd w:val="clear" w:color="auto" w:fill="FFFFFF"/>
        <w:kinsoku w:val="0"/>
        <w:overflowPunct w:val="0"/>
        <w:autoSpaceDE w:val="0"/>
        <w:autoSpaceDN w:val="0"/>
        <w:spacing w:before="0" w:beforeAutospacing="0" w:after="0" w:afterAutospacing="0" w:line="380" w:lineRule="exact"/>
        <w:ind w:rightChars="-83" w:right="-199" w:firstLineChars="100" w:firstLine="280"/>
        <w:rPr>
          <w:rFonts w:ascii="楷体" w:eastAsia="楷体" w:hAnsi="楷体"/>
          <w:sz w:val="28"/>
          <w:szCs w:val="28"/>
        </w:rPr>
      </w:pPr>
      <w:r w:rsidRPr="00340340">
        <w:rPr>
          <w:rFonts w:ascii="楷体" w:eastAsia="楷体" w:hAnsi="楷体" w:hint="eastAsia"/>
          <w:bCs/>
          <w:sz w:val="28"/>
          <w:szCs w:val="28"/>
        </w:rPr>
        <w:t>2019年1-5月份消费品市场运行情况分析</w:t>
      </w:r>
      <w:r w:rsidR="004E75D0" w:rsidRPr="00340340">
        <w:rPr>
          <w:rFonts w:ascii="楷体" w:eastAsia="楷体" w:hAnsi="楷体" w:hint="eastAsia"/>
          <w:bCs/>
          <w:sz w:val="28"/>
          <w:szCs w:val="28"/>
        </w:rPr>
        <w:t>…………</w:t>
      </w:r>
      <w:r w:rsidRPr="00340340">
        <w:rPr>
          <w:rFonts w:ascii="楷体" w:eastAsia="楷体" w:hAnsi="楷体" w:hint="eastAsia"/>
          <w:bCs/>
          <w:sz w:val="28"/>
          <w:szCs w:val="28"/>
        </w:rPr>
        <w:t>………</w:t>
      </w:r>
      <w:r w:rsidR="00B54F9E" w:rsidRPr="00340340">
        <w:rPr>
          <w:rFonts w:ascii="楷体" w:eastAsia="楷体" w:hAnsi="楷体" w:hint="eastAsia"/>
          <w:bCs/>
          <w:sz w:val="28"/>
          <w:szCs w:val="28"/>
        </w:rPr>
        <w:t xml:space="preserve"> </w:t>
      </w:r>
      <w:r w:rsidR="0043012D" w:rsidRPr="00340340">
        <w:rPr>
          <w:rFonts w:ascii="方正楷体简体" w:eastAsia="方正楷体简体" w:hAnsi="楷体" w:cs="楷体_GB2312" w:hint="eastAsia"/>
          <w:sz w:val="28"/>
          <w:szCs w:val="28"/>
        </w:rPr>
        <w:t>（21）</w:t>
      </w:r>
    </w:p>
    <w:p w:rsidR="0020330D" w:rsidRPr="00340340" w:rsidRDefault="00FD16B0" w:rsidP="008C1192">
      <w:pPr>
        <w:pStyle w:val="a8"/>
        <w:widowControl w:val="0"/>
        <w:shd w:val="clear" w:color="auto" w:fill="FFFFFF"/>
        <w:snapToGrid w:val="0"/>
        <w:spacing w:before="0" w:beforeAutospacing="0" w:after="0" w:afterAutospacing="0" w:line="560" w:lineRule="exact"/>
        <w:ind w:rightChars="-83" w:right="-199"/>
        <w:rPr>
          <w:rFonts w:ascii="黑体" w:eastAsia="黑体" w:hAnsi="黑体" w:cs="黑体"/>
          <w:sz w:val="28"/>
          <w:szCs w:val="28"/>
          <w:shd w:val="pct10" w:color="auto" w:fill="FFFFFF"/>
        </w:rPr>
      </w:pPr>
      <w:r w:rsidRPr="00340340">
        <w:rPr>
          <w:rFonts w:ascii="黑体" w:eastAsia="黑体" w:hAnsi="黑体" w:cs="黑体" w:hint="eastAsia"/>
          <w:sz w:val="28"/>
          <w:szCs w:val="28"/>
          <w:shd w:val="pct10" w:color="auto" w:fill="FFFFFF"/>
        </w:rPr>
        <w:lastRenderedPageBreak/>
        <w:t>商 会 动 态</w:t>
      </w:r>
    </w:p>
    <w:p w:rsidR="00E35C4D" w:rsidRPr="00340340" w:rsidRDefault="00E35C4D" w:rsidP="008C1192">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p>
    <w:p w:rsidR="00500D34" w:rsidRPr="00340340" w:rsidRDefault="00500D34" w:rsidP="00500D34">
      <w:pPr>
        <w:widowControl w:val="0"/>
        <w:snapToGrid w:val="0"/>
        <w:spacing w:after="60" w:line="560" w:lineRule="exact"/>
        <w:rPr>
          <w:rFonts w:ascii="黑体" w:eastAsia="黑体" w:hAnsi="黑体"/>
          <w:b/>
          <w:sz w:val="36"/>
          <w:szCs w:val="36"/>
        </w:rPr>
      </w:pPr>
      <w:r w:rsidRPr="00340340">
        <w:rPr>
          <w:rFonts w:ascii="黑体" w:eastAsia="黑体" w:hAnsi="黑体" w:hint="eastAsia"/>
          <w:b/>
          <w:sz w:val="36"/>
          <w:szCs w:val="36"/>
        </w:rPr>
        <w:t>中国商业联合会党委召开“不忘初心、牢记使命”</w:t>
      </w:r>
    </w:p>
    <w:p w:rsidR="00500D34" w:rsidRPr="00340340" w:rsidRDefault="00500D34" w:rsidP="00500D34">
      <w:pPr>
        <w:widowControl w:val="0"/>
        <w:snapToGrid w:val="0"/>
        <w:spacing w:after="60" w:line="560" w:lineRule="exact"/>
        <w:jc w:val="center"/>
        <w:rPr>
          <w:rFonts w:ascii="黑体" w:eastAsia="黑体" w:hAnsi="黑体"/>
          <w:b/>
          <w:sz w:val="36"/>
          <w:szCs w:val="36"/>
        </w:rPr>
      </w:pPr>
      <w:r w:rsidRPr="00340340">
        <w:rPr>
          <w:rFonts w:ascii="黑体" w:eastAsia="黑体" w:hAnsi="黑体" w:hint="eastAsia"/>
          <w:b/>
          <w:sz w:val="36"/>
          <w:szCs w:val="36"/>
        </w:rPr>
        <w:t>主题教育动员部署会议</w:t>
      </w:r>
    </w:p>
    <w:p w:rsidR="00500D34" w:rsidRPr="00340340" w:rsidRDefault="00500D34" w:rsidP="00500D34">
      <w:pPr>
        <w:snapToGrid w:val="0"/>
        <w:spacing w:after="60" w:line="560" w:lineRule="exact"/>
        <w:ind w:firstLineChars="200" w:firstLine="723"/>
        <w:jc w:val="center"/>
        <w:rPr>
          <w:rFonts w:ascii="黑体" w:eastAsia="黑体" w:hAnsi="黑体"/>
          <w:b/>
          <w:sz w:val="36"/>
          <w:szCs w:val="36"/>
        </w:rPr>
      </w:pPr>
    </w:p>
    <w:p w:rsidR="00500D34" w:rsidRPr="00340340" w:rsidRDefault="00500D34" w:rsidP="00500D34">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2019年6月17日上午，中商联党委召开“不忘初心、牢记使命”主题教育动员部署会议，按照党中央和国资委党委的部署要求，对中商联系统主题教育活动进行动员部署。中商联党委书记、会长姜明作主题教育动员讲话；党委副书记周京英就主题教育实施方案进行说明；国资委党委主题教育行业协会组成员、协会党建局副局长方长安</w:t>
      </w:r>
      <w:r w:rsidR="00253FF0" w:rsidRPr="00340340">
        <w:rPr>
          <w:rFonts w:ascii="仿宋" w:eastAsia="仿宋" w:hAnsi="仿宋" w:hint="eastAsia"/>
          <w:sz w:val="28"/>
          <w:szCs w:val="28"/>
        </w:rPr>
        <w:t>出席会议并</w:t>
      </w:r>
      <w:r w:rsidRPr="00340340">
        <w:rPr>
          <w:rFonts w:ascii="仿宋" w:eastAsia="仿宋" w:hAnsi="仿宋" w:hint="eastAsia"/>
          <w:sz w:val="28"/>
          <w:szCs w:val="28"/>
        </w:rPr>
        <w:t>讲话。中商联党委常委、党委委员、监事长、部门党员负责人（含副职）；各党组织书记、副书记、党委委员、总支委员、支委；代管协会秘书长以上驻会党员领导班子成员；管理事业单位处级以上（含副处）党员干部共计130余人参加会议。会议由党委副书记周京英主持。</w:t>
      </w:r>
    </w:p>
    <w:p w:rsidR="00500D34" w:rsidRPr="00340340" w:rsidRDefault="00500D34" w:rsidP="00500D34">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会议传达了习近平总书记5月31日在中央主题教育工作会议上的重要讲话、《中共中央关于在全党开展“不忘初心、牢记使命”主题教育的意见》和6月10日国资委党委联系的行业协会“不忘初心、牢记使命”主题教育动员部署会议精神。姜明同志在动员部署讲话中，就如何开展好主题教育提出了意见和要求。一是充分认识开展主题教育的重要意义，二是全面贯彻中央和国资委党委部署要</w:t>
      </w:r>
      <w:r w:rsidRPr="00340340">
        <w:rPr>
          <w:rFonts w:ascii="仿宋" w:eastAsia="仿宋" w:hAnsi="仿宋" w:hint="eastAsia"/>
          <w:sz w:val="28"/>
          <w:szCs w:val="28"/>
        </w:rPr>
        <w:lastRenderedPageBreak/>
        <w:t>求，推动中商联系统主题教育扎实深入开展。并从贯彻落实主题教育总要求、牢牢把握主题教育目标任务、抓好主题教育重点工作、全面查摆认真整改存在问题、加强组织领导确保主题教育全面深入开展等五个方面进行了详细阐述。姜明同志强调，党的十九大决定，以县处级以上领导干部为重点，在全党开展“不忘初心、牢记使命”主题教育，这是以习近平同志为核心的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姜明同志要求，中商联党委要认真学习领会讲话的主要内容和精神实质，自觉把思想统一到习近平总书记重要讲话精神上来，统一到中央决策部署上来，充分认识开展主题教育的重大意义，准确把握主题教育的总要求、目标任务和各项具体措施，不断增强“四个意识”、坚定“四个自信”、做到“两个维护”，以高度的政治责任感、良好的精神状态开展好这次主题教育，增强中商联系统党建工作的责任感、紧迫感，推动行业协会脱钩改革和市场化转型发展，推动事业单位改革发展，推动产业转型升级和高质量、可持续发展，以优异成绩庆祝中华人民共和国成立70周年!</w:t>
      </w:r>
    </w:p>
    <w:p w:rsidR="00500D34" w:rsidRPr="00340340" w:rsidRDefault="00500D34" w:rsidP="00500D34">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周京英同志介绍了中商联党委主题教育实施方案，并就总体要求、目标任务、工作安排、组织领导等进行了说明。</w:t>
      </w:r>
    </w:p>
    <w:p w:rsidR="00500D34" w:rsidRPr="00340340" w:rsidRDefault="00500D34" w:rsidP="00500D34">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方长安同志在讲话中充分肯定了中商联党委开展主题教育所做</w:t>
      </w:r>
      <w:r w:rsidRPr="00340340">
        <w:rPr>
          <w:rFonts w:ascii="仿宋" w:eastAsia="仿宋" w:hAnsi="仿宋" w:hint="eastAsia"/>
          <w:sz w:val="28"/>
          <w:szCs w:val="28"/>
        </w:rPr>
        <w:lastRenderedPageBreak/>
        <w:t xml:space="preserve">工作，并指出，6月10日国资委党委召开行业协会 “不忘初心、牢记使命”主题教育动员部署会议后，中商联党委高度重视，及时进行了组织传达，并结合自身实际，成立了相应的领导机构和工作机构，并结合实际研究制定了主题教育实施方案，为中商联系统开展好这次主题教育活动做了充分的准备。方长安同志指出，今年是中华人民共和国成立70周年，也是我们党在全国执政第70个年头，在这个时刻开展这次主题教育，正当其时。习近平总书记在“不忘初心、牢记使命”主题教育工作会议上的重要讲话，深刻阐述了中国共产党人的初心和使命，深刻阐述了开展主题教育的重大意义，对开展主题教育提出了明确要求，为在全党开展主题教育指明了方向。方长安同志要求，开展好主题教育活动，一是聚焦根本任务，抓好落实；二是把握“12字”总要求，抓好落实；三是紧扣“5句话”目标，抓好落实；四是坚持“4个贯穿始终”，抓好落实；五是力戒形式主义，抓好落实。方长安同志强调，在全党开展“不忘初心、牢记使命”主题教育，是党中央作出的一项重大决策，意义重大，要认真学习贯彻习近平总书记的重要讲话和重要指示批示精神，按照党中央部署和国资委党委工作要求，突出重点对象和重点要求，加强督促指导，坚持原则，提高标准，把主题教育活动持续推向深入。                                  </w:t>
      </w:r>
    </w:p>
    <w:p w:rsidR="00500D34" w:rsidRPr="00340340" w:rsidRDefault="00500D34" w:rsidP="00500D34">
      <w:pPr>
        <w:pStyle w:val="a8"/>
        <w:widowControl w:val="0"/>
        <w:shd w:val="clear" w:color="auto" w:fill="FFFFFF"/>
        <w:snapToGrid w:val="0"/>
        <w:spacing w:before="0" w:beforeAutospacing="0" w:after="0" w:afterAutospacing="0" w:line="560" w:lineRule="exact"/>
        <w:ind w:rightChars="-83" w:right="-199"/>
        <w:jc w:val="right"/>
        <w:rPr>
          <w:rFonts w:ascii="黑体" w:eastAsia="黑体" w:hAnsi="黑体"/>
          <w:b/>
          <w:bCs/>
          <w:sz w:val="36"/>
          <w:szCs w:val="36"/>
        </w:rPr>
      </w:pPr>
      <w:r w:rsidRPr="00340340">
        <w:rPr>
          <w:rFonts w:ascii="仿宋" w:eastAsia="仿宋" w:hAnsi="仿宋" w:hint="eastAsia"/>
          <w:sz w:val="28"/>
          <w:szCs w:val="28"/>
        </w:rPr>
        <w:t xml:space="preserve"> </w:t>
      </w:r>
      <w:r w:rsidRPr="00340340">
        <w:rPr>
          <w:rFonts w:ascii="楷体" w:eastAsia="楷体" w:hAnsi="楷体" w:hint="eastAsia"/>
          <w:sz w:val="28"/>
          <w:szCs w:val="28"/>
        </w:rPr>
        <w:t>（党委办公室）</w:t>
      </w:r>
    </w:p>
    <w:p w:rsidR="00500D34" w:rsidRPr="00340340" w:rsidRDefault="00500D34" w:rsidP="008C1192">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p>
    <w:p w:rsidR="007E291F" w:rsidRPr="00340340" w:rsidRDefault="007E291F" w:rsidP="008C1192">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p>
    <w:p w:rsidR="005A36CF" w:rsidRPr="00340340" w:rsidRDefault="005A36CF" w:rsidP="008C1192">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r w:rsidRPr="00340340">
        <w:rPr>
          <w:rFonts w:ascii="黑体" w:eastAsia="黑体" w:hAnsi="黑体" w:hint="eastAsia"/>
          <w:b/>
          <w:bCs/>
          <w:sz w:val="36"/>
          <w:szCs w:val="36"/>
        </w:rPr>
        <w:lastRenderedPageBreak/>
        <w:t>姜明会长出席全国省（直辖市）商业联合会（总会）会长座谈会</w:t>
      </w:r>
    </w:p>
    <w:p w:rsidR="005A36CF" w:rsidRPr="00340340" w:rsidRDefault="005A36CF" w:rsidP="008C1192">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p>
    <w:p w:rsidR="005A36CF" w:rsidRPr="00340340" w:rsidRDefault="005A36CF" w:rsidP="005305FB">
      <w:pPr>
        <w:pStyle w:val="a8"/>
        <w:widowControl w:val="0"/>
        <w:shd w:val="clear" w:color="auto" w:fill="FFFFFF"/>
        <w:snapToGrid w:val="0"/>
        <w:spacing w:before="0" w:beforeAutospacing="0" w:after="0" w:afterAutospacing="0" w:line="560" w:lineRule="exact"/>
        <w:ind w:firstLineChars="250" w:firstLine="700"/>
        <w:rPr>
          <w:rFonts w:ascii="仿宋" w:eastAsia="仿宋" w:hAnsi="仿宋"/>
          <w:sz w:val="28"/>
          <w:szCs w:val="28"/>
        </w:rPr>
      </w:pPr>
      <w:r w:rsidRPr="00340340">
        <w:rPr>
          <w:rFonts w:ascii="仿宋" w:eastAsia="仿宋" w:hAnsi="仿宋" w:hint="eastAsia"/>
          <w:sz w:val="28"/>
          <w:szCs w:val="28"/>
        </w:rPr>
        <w:t>2019年6月18日，全国省（直辖市）商业联合会（总会）会长座谈会在太原市召开。来自山西、北京、上海、重庆、河北、浙江、安徽、福建、江西、山东、河南、湖北、海南等省（直辖市）的商业联合会（总会）主要负责人参加了本次座谈会。中国商业联合会会长姜明，副会长张丽君、副秘书长沈实，会员部副部长李宝出席会议。</w:t>
      </w:r>
    </w:p>
    <w:p w:rsidR="005A36CF" w:rsidRPr="00340340" w:rsidRDefault="005A36CF" w:rsidP="005305FB">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姜明会长在会议上发表了讲话。姜会长对“全国省商业联合会座谈会”这种交流形式给予了充分肯定。他认为，“座谈会”有利于全国省商业联合会之间的交流、合作、资源共享、共同发展</w:t>
      </w:r>
      <w:r w:rsidR="00644CFA" w:rsidRPr="00340340">
        <w:rPr>
          <w:rFonts w:ascii="仿宋" w:eastAsia="仿宋" w:hAnsi="仿宋" w:hint="eastAsia"/>
          <w:sz w:val="28"/>
          <w:szCs w:val="28"/>
        </w:rPr>
        <w:t>，</w:t>
      </w:r>
      <w:r w:rsidRPr="00340340">
        <w:rPr>
          <w:rFonts w:ascii="仿宋" w:eastAsia="仿宋" w:hAnsi="仿宋" w:hint="eastAsia"/>
          <w:sz w:val="28"/>
          <w:szCs w:val="28"/>
        </w:rPr>
        <w:t>对“座谈会”的倡议发起单位—山西省商业联合会表示感谢和赞赏。随后，姜会长分析了今年全国经济形势</w:t>
      </w:r>
      <w:r w:rsidR="00644CFA" w:rsidRPr="00340340">
        <w:rPr>
          <w:rFonts w:ascii="仿宋" w:eastAsia="仿宋" w:hAnsi="仿宋" w:hint="eastAsia"/>
          <w:sz w:val="28"/>
          <w:szCs w:val="28"/>
        </w:rPr>
        <w:t>。</w:t>
      </w:r>
      <w:r w:rsidRPr="00340340">
        <w:rPr>
          <w:rFonts w:ascii="仿宋" w:eastAsia="仿宋" w:hAnsi="仿宋" w:hint="eastAsia"/>
          <w:sz w:val="28"/>
          <w:szCs w:val="28"/>
        </w:rPr>
        <w:t>他指出</w:t>
      </w:r>
      <w:r w:rsidR="00644CFA" w:rsidRPr="00340340">
        <w:rPr>
          <w:rFonts w:ascii="仿宋" w:eastAsia="仿宋" w:hAnsi="仿宋" w:hint="eastAsia"/>
          <w:sz w:val="28"/>
          <w:szCs w:val="28"/>
        </w:rPr>
        <w:t>，</w:t>
      </w:r>
      <w:r w:rsidRPr="00340340">
        <w:rPr>
          <w:rFonts w:ascii="仿宋" w:eastAsia="仿宋" w:hAnsi="仿宋" w:hint="eastAsia"/>
          <w:sz w:val="28"/>
          <w:szCs w:val="28"/>
        </w:rPr>
        <w:t>我国经济形势总体平稳、稳中有变、变中有忧、稳中向好，我国的发展态势并没有改变。</w:t>
      </w:r>
      <w:r w:rsidR="00644CFA" w:rsidRPr="00340340">
        <w:rPr>
          <w:rFonts w:ascii="仿宋" w:eastAsia="仿宋" w:hAnsi="仿宋" w:hint="eastAsia"/>
          <w:sz w:val="28"/>
          <w:szCs w:val="28"/>
        </w:rPr>
        <w:t>他</w:t>
      </w:r>
      <w:r w:rsidRPr="00340340">
        <w:rPr>
          <w:rFonts w:ascii="仿宋" w:eastAsia="仿宋" w:hAnsi="仿宋" w:hint="eastAsia"/>
          <w:sz w:val="28"/>
          <w:szCs w:val="28"/>
        </w:rPr>
        <w:t>要求全国商联会要“不忘初心”，牢记行业协会</w:t>
      </w:r>
      <w:r w:rsidR="00644CFA" w:rsidRPr="00340340">
        <w:rPr>
          <w:rFonts w:ascii="仿宋" w:eastAsia="仿宋" w:hAnsi="仿宋" w:hint="eastAsia"/>
          <w:sz w:val="28"/>
          <w:szCs w:val="28"/>
        </w:rPr>
        <w:t>、商会</w:t>
      </w:r>
      <w:r w:rsidRPr="00340340">
        <w:rPr>
          <w:rFonts w:ascii="仿宋" w:eastAsia="仿宋" w:hAnsi="仿宋" w:hint="eastAsia"/>
          <w:sz w:val="28"/>
          <w:szCs w:val="28"/>
        </w:rPr>
        <w:t>为政府服务、为行业服务、为会员服务、为企业服务的使命。姜明会长对全国商联会组织发展提出了指导性意见：党的“十八大”、特别是“十九大”以来，中央对行业协会</w:t>
      </w:r>
      <w:r w:rsidR="00644CFA" w:rsidRPr="00340340">
        <w:rPr>
          <w:rFonts w:ascii="仿宋" w:eastAsia="仿宋" w:hAnsi="仿宋" w:hint="eastAsia"/>
          <w:sz w:val="28"/>
          <w:szCs w:val="28"/>
        </w:rPr>
        <w:t>、</w:t>
      </w:r>
      <w:r w:rsidRPr="00340340">
        <w:rPr>
          <w:rFonts w:ascii="仿宋" w:eastAsia="仿宋" w:hAnsi="仿宋" w:hint="eastAsia"/>
          <w:sz w:val="28"/>
          <w:szCs w:val="28"/>
        </w:rPr>
        <w:t>商会的发展十分重视</w:t>
      </w:r>
      <w:r w:rsidR="00644CFA" w:rsidRPr="00340340">
        <w:rPr>
          <w:rFonts w:ascii="仿宋" w:eastAsia="仿宋" w:hAnsi="仿宋" w:hint="eastAsia"/>
          <w:sz w:val="28"/>
          <w:szCs w:val="28"/>
        </w:rPr>
        <w:t>。</w:t>
      </w:r>
      <w:r w:rsidRPr="00340340">
        <w:rPr>
          <w:rFonts w:ascii="仿宋" w:eastAsia="仿宋" w:hAnsi="仿宋" w:hint="eastAsia"/>
          <w:sz w:val="28"/>
          <w:szCs w:val="28"/>
        </w:rPr>
        <w:t>开展“脱钩工作”，加大</w:t>
      </w:r>
      <w:r w:rsidR="00644CFA" w:rsidRPr="00340340">
        <w:rPr>
          <w:rFonts w:ascii="仿宋" w:eastAsia="仿宋" w:hAnsi="仿宋" w:hint="eastAsia"/>
          <w:sz w:val="28"/>
          <w:szCs w:val="28"/>
        </w:rPr>
        <w:t>对</w:t>
      </w:r>
      <w:r w:rsidRPr="00340340">
        <w:rPr>
          <w:rFonts w:ascii="仿宋" w:eastAsia="仿宋" w:hAnsi="仿宋" w:hint="eastAsia"/>
          <w:sz w:val="28"/>
          <w:szCs w:val="28"/>
        </w:rPr>
        <w:t>“非法社会组织”</w:t>
      </w:r>
      <w:r w:rsidR="00644CFA" w:rsidRPr="00340340">
        <w:rPr>
          <w:rFonts w:ascii="仿宋" w:eastAsia="仿宋" w:hAnsi="仿宋" w:hint="eastAsia"/>
          <w:sz w:val="28"/>
          <w:szCs w:val="28"/>
        </w:rPr>
        <w:t>查处</w:t>
      </w:r>
      <w:r w:rsidRPr="00340340">
        <w:rPr>
          <w:rFonts w:ascii="仿宋" w:eastAsia="仿宋" w:hAnsi="仿宋" w:hint="eastAsia"/>
          <w:sz w:val="28"/>
          <w:szCs w:val="28"/>
        </w:rPr>
        <w:t>力度，推动社会组织自主管理、自主发展。行业协会</w:t>
      </w:r>
      <w:r w:rsidR="00644CFA" w:rsidRPr="00340340">
        <w:rPr>
          <w:rFonts w:ascii="仿宋" w:eastAsia="仿宋" w:hAnsi="仿宋" w:hint="eastAsia"/>
          <w:sz w:val="28"/>
          <w:szCs w:val="28"/>
        </w:rPr>
        <w:t>、</w:t>
      </w:r>
      <w:r w:rsidRPr="00340340">
        <w:rPr>
          <w:rFonts w:ascii="仿宋" w:eastAsia="仿宋" w:hAnsi="仿宋" w:hint="eastAsia"/>
          <w:sz w:val="28"/>
          <w:szCs w:val="28"/>
        </w:rPr>
        <w:t>商会面临着转型升级的机遇。行业协会</w:t>
      </w:r>
      <w:r w:rsidR="00644CFA" w:rsidRPr="00340340">
        <w:rPr>
          <w:rFonts w:ascii="仿宋" w:eastAsia="仿宋" w:hAnsi="仿宋" w:hint="eastAsia"/>
          <w:sz w:val="28"/>
          <w:szCs w:val="28"/>
        </w:rPr>
        <w:t>、</w:t>
      </w:r>
      <w:r w:rsidRPr="00340340">
        <w:rPr>
          <w:rFonts w:ascii="仿宋" w:eastAsia="仿宋" w:hAnsi="仿宋" w:hint="eastAsia"/>
          <w:sz w:val="28"/>
          <w:szCs w:val="28"/>
        </w:rPr>
        <w:t>商会的发展要走“社会化、市场化、品牌化、国际化、</w:t>
      </w:r>
      <w:r w:rsidRPr="00340340">
        <w:rPr>
          <w:rFonts w:ascii="仿宋" w:eastAsia="仿宋" w:hAnsi="仿宋" w:hint="eastAsia"/>
          <w:sz w:val="28"/>
          <w:szCs w:val="28"/>
        </w:rPr>
        <w:lastRenderedPageBreak/>
        <w:t>规范化”的道路，为市场主体服务，靠市场谋求生存和发展。商联会组织要站到前台，适应形势变化，充分发挥作用，真正做到服务国家、服务社会、服务群众、服务行业。</w:t>
      </w:r>
    </w:p>
    <w:p w:rsidR="005A36CF" w:rsidRPr="00340340" w:rsidRDefault="005A36CF"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与会代表围绕新形势下实施党建带动、政企互动、平台推动、项目驱动、相互联动、抱团行动，凝聚力量，发挥作用的举措与经验进行了充分的交流。</w:t>
      </w:r>
    </w:p>
    <w:p w:rsidR="005A36CF" w:rsidRPr="00340340" w:rsidRDefault="00E670C6"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中商联</w:t>
      </w:r>
      <w:r w:rsidR="005A36CF" w:rsidRPr="00340340">
        <w:rPr>
          <w:rFonts w:ascii="仿宋" w:eastAsia="仿宋" w:hAnsi="仿宋" w:hint="eastAsia"/>
          <w:sz w:val="28"/>
          <w:szCs w:val="28"/>
        </w:rPr>
        <w:t>张丽君副会长就“评选全国商贸流通服务业先进集体、劳动模范和先进工作者”工作进行了布置。沈实副秘书长介绍了“第19届亚太零售商大会”活动的筹备进展情况。</w:t>
      </w:r>
    </w:p>
    <w:p w:rsidR="00001911" w:rsidRPr="00340340" w:rsidRDefault="005A36CF"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会议结束前，各省商联会代表形成决议：建立信息交流平台、开辟横向合作渠道，以市场需求为导向、加强品牌战略合作，建立联络机制、实行会议主办单位轮值。</w:t>
      </w:r>
      <w:r w:rsidR="00E670C6" w:rsidRPr="00340340">
        <w:rPr>
          <w:rFonts w:ascii="仿宋" w:eastAsia="仿宋" w:hAnsi="仿宋" w:hint="eastAsia"/>
          <w:sz w:val="28"/>
          <w:szCs w:val="28"/>
        </w:rPr>
        <w:t>会议商定</w:t>
      </w:r>
      <w:r w:rsidRPr="00340340">
        <w:rPr>
          <w:rFonts w:ascii="仿宋" w:eastAsia="仿宋" w:hAnsi="仿宋" w:hint="eastAsia"/>
          <w:sz w:val="28"/>
          <w:szCs w:val="28"/>
        </w:rPr>
        <w:t>下一届全国省级商联会会长联席会议，由上海市商业联合会主办。</w:t>
      </w:r>
      <w:r w:rsidR="005305FB" w:rsidRPr="00340340">
        <w:rPr>
          <w:rFonts w:ascii="仿宋" w:eastAsia="仿宋" w:hAnsi="仿宋" w:hint="eastAsia"/>
          <w:sz w:val="28"/>
          <w:szCs w:val="28"/>
        </w:rPr>
        <w:t xml:space="preserve">           </w:t>
      </w:r>
      <w:r w:rsidR="00F525CB" w:rsidRPr="00340340">
        <w:rPr>
          <w:rFonts w:ascii="仿宋" w:eastAsia="仿宋" w:hAnsi="仿宋" w:hint="eastAsia"/>
          <w:sz w:val="28"/>
          <w:szCs w:val="28"/>
        </w:rPr>
        <w:t xml:space="preserve">   </w:t>
      </w:r>
      <w:r w:rsidR="005305FB" w:rsidRPr="00340340">
        <w:rPr>
          <w:rFonts w:ascii="仿宋" w:eastAsia="仿宋" w:hAnsi="仿宋" w:hint="eastAsia"/>
          <w:sz w:val="28"/>
          <w:szCs w:val="28"/>
        </w:rPr>
        <w:t xml:space="preserve">  </w:t>
      </w:r>
      <w:r w:rsidR="00001911" w:rsidRPr="00340340">
        <w:rPr>
          <w:rFonts w:ascii="楷体" w:eastAsia="楷体" w:hAnsi="楷体" w:hint="eastAsia"/>
          <w:sz w:val="28"/>
          <w:szCs w:val="28"/>
        </w:rPr>
        <w:t>（会员部）</w:t>
      </w:r>
    </w:p>
    <w:p w:rsidR="005A36CF" w:rsidRPr="00340340" w:rsidRDefault="005305FB" w:rsidP="00001911">
      <w:pPr>
        <w:pStyle w:val="a8"/>
        <w:widowControl w:val="0"/>
        <w:shd w:val="clear" w:color="auto" w:fill="FFFFFF"/>
        <w:snapToGrid w:val="0"/>
        <w:spacing w:before="0" w:beforeAutospacing="0" w:after="0" w:afterAutospacing="0" w:line="560" w:lineRule="exact"/>
        <w:ind w:firstLineChars="200" w:firstLine="560"/>
        <w:jc w:val="right"/>
        <w:rPr>
          <w:rFonts w:ascii="仿宋" w:eastAsia="仿宋" w:hAnsi="仿宋"/>
          <w:sz w:val="28"/>
          <w:szCs w:val="28"/>
        </w:rPr>
      </w:pPr>
      <w:r w:rsidRPr="00340340">
        <w:rPr>
          <w:rFonts w:ascii="仿宋" w:eastAsia="仿宋" w:hAnsi="仿宋" w:hint="eastAsia"/>
          <w:sz w:val="28"/>
          <w:szCs w:val="28"/>
        </w:rPr>
        <w:t xml:space="preserve">  </w:t>
      </w:r>
    </w:p>
    <w:p w:rsidR="00A63F7D" w:rsidRPr="00340340" w:rsidRDefault="00A63F7D" w:rsidP="008C1192">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r w:rsidRPr="00340340">
        <w:rPr>
          <w:rFonts w:ascii="黑体" w:eastAsia="黑体" w:hAnsi="黑体" w:hint="eastAsia"/>
          <w:b/>
          <w:bCs/>
          <w:sz w:val="36"/>
          <w:szCs w:val="36"/>
        </w:rPr>
        <w:t>傅龙成副会长出席旅居养老机构经营服务规范团体</w:t>
      </w:r>
    </w:p>
    <w:p w:rsidR="00A63F7D" w:rsidRPr="00340340" w:rsidRDefault="00A63F7D" w:rsidP="008C1192">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r w:rsidRPr="00340340">
        <w:rPr>
          <w:rFonts w:ascii="黑体" w:eastAsia="黑体" w:hAnsi="黑体" w:hint="eastAsia"/>
          <w:b/>
          <w:bCs/>
          <w:sz w:val="36"/>
          <w:szCs w:val="36"/>
        </w:rPr>
        <w:t>标准研讨会新闻发布会</w:t>
      </w:r>
    </w:p>
    <w:p w:rsidR="00E35C4D" w:rsidRPr="00340340" w:rsidRDefault="00E35C4D" w:rsidP="008C1192">
      <w:pPr>
        <w:pStyle w:val="a8"/>
        <w:widowControl w:val="0"/>
        <w:shd w:val="clear" w:color="auto" w:fill="FFFFFF"/>
        <w:snapToGrid w:val="0"/>
        <w:spacing w:before="0" w:beforeAutospacing="0" w:after="0" w:afterAutospacing="0" w:line="560" w:lineRule="exact"/>
        <w:ind w:rightChars="-83" w:right="-199"/>
        <w:rPr>
          <w:rFonts w:ascii="黑体" w:eastAsia="黑体" w:hAnsi="黑体"/>
          <w:b/>
          <w:bCs/>
          <w:sz w:val="36"/>
          <w:szCs w:val="36"/>
        </w:rPr>
      </w:pPr>
    </w:p>
    <w:p w:rsidR="00A63F7D" w:rsidRPr="00340340" w:rsidRDefault="005305FB"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2019年</w:t>
      </w:r>
      <w:r w:rsidR="00A63F7D" w:rsidRPr="00340340">
        <w:rPr>
          <w:rFonts w:ascii="仿宋" w:eastAsia="仿宋" w:hAnsi="仿宋" w:hint="eastAsia"/>
          <w:sz w:val="28"/>
          <w:szCs w:val="28"/>
        </w:rPr>
        <w:t>5月 22日，由中国商业联合会组织制订的《旅居养老机构经营服务规范》团体标准研讨会在福建武夷山召开。中商联副会长傅龙成、中商联商业创新分会副会长沈洋、</w:t>
      </w:r>
      <w:r w:rsidR="002336E9" w:rsidRPr="00340340">
        <w:rPr>
          <w:rFonts w:ascii="仿宋" w:eastAsia="仿宋" w:hAnsi="仿宋" w:hint="eastAsia"/>
          <w:sz w:val="28"/>
          <w:szCs w:val="28"/>
        </w:rPr>
        <w:t>中商联标准工作部副处长张晨、</w:t>
      </w:r>
      <w:r w:rsidR="00A63F7D" w:rsidRPr="00340340">
        <w:rPr>
          <w:rFonts w:ascii="仿宋" w:eastAsia="仿宋" w:hAnsi="仿宋" w:hint="eastAsia"/>
          <w:sz w:val="28"/>
          <w:szCs w:val="28"/>
        </w:rPr>
        <w:t>嘉浩华文代表王居顺与媒体领域的专家学者以及企业</w:t>
      </w:r>
      <w:r w:rsidR="00A63F7D" w:rsidRPr="00340340">
        <w:rPr>
          <w:rFonts w:ascii="仿宋" w:eastAsia="仿宋" w:hAnsi="仿宋" w:hint="eastAsia"/>
          <w:sz w:val="28"/>
          <w:szCs w:val="28"/>
        </w:rPr>
        <w:lastRenderedPageBreak/>
        <w:t>代表30人参加了会议。</w:t>
      </w:r>
    </w:p>
    <w:p w:rsidR="00A63F7D" w:rsidRPr="00340340" w:rsidRDefault="002336E9"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傅龙成</w:t>
      </w:r>
      <w:r w:rsidR="00A63F7D" w:rsidRPr="00340340">
        <w:rPr>
          <w:rFonts w:ascii="仿宋" w:eastAsia="仿宋" w:hAnsi="仿宋" w:hint="eastAsia"/>
          <w:sz w:val="28"/>
          <w:szCs w:val="28"/>
        </w:rPr>
        <w:t>副会长与会授牌并实地调研二无茶山。他结合旅居养老市场发展和经营机构融合发展，在调研现场与福建悟逸生态茶业发展有限公司董事长陈香明，以及十几位行业代表展开探讨，从茶树的土壤改良到根系养护，从茶山的生态环境到康养基地，从旅居养老到机构自律，从分享到新零售，如何积极争取团体标准立项和制定工作的具体情况，介绍了中国商业联合会为规范行业监督管理，服务企业健康发展基本做法和总体思路。</w:t>
      </w:r>
    </w:p>
    <w:p w:rsidR="002336E9" w:rsidRPr="00340340" w:rsidRDefault="00A63F7D"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中商联标准工作部张晨副处长，全面解析了标准的类别和标准对行业管理以及企业的作用。标准提出单位，嘉浩华文（北京）文化传媒有限公司代表王居顺，对旅居养老目前的市场状态以及旅养机构的未来发展向与会专家、媒体及企业做了详尽汇报。</w:t>
      </w:r>
    </w:p>
    <w:p w:rsidR="003F2533" w:rsidRPr="00340340" w:rsidRDefault="00A63F7D" w:rsidP="00DD6D5E">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会上，标准起草工作组成员介绍了《旅居养老机构经营服务规范》团体标准的起草内容，并就标准的目的和意义、制定标准依据以及标准的主要内容做说明。《旅居养老机构经营服务规范》是根据我国旅居养老机构的要求，针对多年来旅居养老市场运行中存在问题，学习、吸收、借鉴国外先进国家的相关经验，国内相关机构的成功经营而起草。《旅居养老机构经营服务规范》着重从旅游景区、居家服务、生态园区、中医药园区、康养基地以及人员等环节加强规范和要求，与参会者进行了探讨。参会代表从不同角度对标准的起草和主要内容，提出了许多建设性意见，为进一步修改完善标准奠定了较好的基础。</w:t>
      </w:r>
      <w:r w:rsidR="003F2533" w:rsidRPr="00340340">
        <w:rPr>
          <w:rFonts w:ascii="仿宋" w:eastAsia="仿宋" w:hAnsi="仿宋" w:hint="eastAsia"/>
          <w:sz w:val="28"/>
          <w:szCs w:val="28"/>
        </w:rPr>
        <w:t>北京惠和生物农业高科技有限公司、武夷</w:t>
      </w:r>
      <w:r w:rsidR="003F2533" w:rsidRPr="00340340">
        <w:rPr>
          <w:rFonts w:ascii="仿宋" w:eastAsia="仿宋" w:hAnsi="仿宋" w:hint="eastAsia"/>
          <w:sz w:val="28"/>
          <w:szCs w:val="28"/>
        </w:rPr>
        <w:lastRenderedPageBreak/>
        <w:t>山市仙静岩茶厂、武夷山市林兰岩茶厂、武夷山市华飞岩茶厂、武夷山市兴亿岩茶厂、武夷山岩谷灵芽岩茶厂、武夷山盆坑岩茶厂等30余家企业代表，就标准草案，广泛发表了修改意见。</w:t>
      </w:r>
    </w:p>
    <w:p w:rsidR="00A63F7D" w:rsidRPr="00340340" w:rsidRDefault="00A63F7D"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《旅居养老机构经营服务规范》团体标准主要起草单位</w:t>
      </w:r>
      <w:r w:rsidR="002336E9" w:rsidRPr="00340340">
        <w:rPr>
          <w:rFonts w:ascii="仿宋" w:eastAsia="仿宋" w:hAnsi="仿宋" w:hint="eastAsia"/>
          <w:sz w:val="28"/>
          <w:szCs w:val="28"/>
        </w:rPr>
        <w:t>之一</w:t>
      </w:r>
      <w:r w:rsidRPr="00340340">
        <w:rPr>
          <w:rFonts w:ascii="仿宋" w:eastAsia="仿宋" w:hAnsi="仿宋" w:hint="eastAsia"/>
          <w:sz w:val="28"/>
          <w:szCs w:val="28"/>
        </w:rPr>
        <w:t>，福建悟逸生态茶业发展有限公司董事长陈香明，对二无岩茶立足资源禀赋和生态优势，打造旅游文化精品,升级武夷森林康养产业园、康养度假区，推进生态旅游、深度旅游</w:t>
      </w:r>
      <w:r w:rsidR="002336E9" w:rsidRPr="00340340">
        <w:rPr>
          <w:rFonts w:ascii="仿宋" w:eastAsia="仿宋" w:hAnsi="仿宋" w:hint="eastAsia"/>
          <w:sz w:val="28"/>
          <w:szCs w:val="28"/>
        </w:rPr>
        <w:t>，</w:t>
      </w:r>
      <w:r w:rsidRPr="00340340">
        <w:rPr>
          <w:rFonts w:ascii="仿宋" w:eastAsia="仿宋" w:hAnsi="仿宋" w:hint="eastAsia"/>
          <w:sz w:val="28"/>
          <w:szCs w:val="28"/>
        </w:rPr>
        <w:t>嫁接中商联资源，导入武夷山二无岩茶融合发展旅养产业做了汇报。</w:t>
      </w:r>
    </w:p>
    <w:p w:rsidR="00001911" w:rsidRPr="00340340" w:rsidRDefault="003F2533" w:rsidP="00E670C6">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《旅居养老机构经营服务规范》是根据中国商业联合会《关于下达2018年第二批团体标准项目计划》要求编写制订的团体标准，嘉浩华文（北京）文化传媒有限公司为提出单位，</w:t>
      </w:r>
      <w:r w:rsidR="00E670C6" w:rsidRPr="00340340">
        <w:rPr>
          <w:rFonts w:ascii="仿宋" w:eastAsia="仿宋" w:hAnsi="仿宋" w:hint="eastAsia"/>
          <w:sz w:val="28"/>
          <w:szCs w:val="28"/>
        </w:rPr>
        <w:t>计划</w:t>
      </w:r>
      <w:r w:rsidRPr="00340340">
        <w:rPr>
          <w:rFonts w:ascii="仿宋" w:eastAsia="仿宋" w:hAnsi="仿宋" w:hint="eastAsia"/>
          <w:sz w:val="28"/>
          <w:szCs w:val="28"/>
        </w:rPr>
        <w:t xml:space="preserve">于2019年底完成制订任务，标准归口单位是中国商业联合会。该标准的起草发布，将填补国内旅居养老机构经营服务领域的空白，并有效推动行业的健康发展。 </w:t>
      </w:r>
      <w:r w:rsidR="00E670C6" w:rsidRPr="00340340">
        <w:rPr>
          <w:rFonts w:ascii="仿宋" w:eastAsia="仿宋" w:hAnsi="仿宋" w:hint="eastAsia"/>
          <w:sz w:val="28"/>
          <w:szCs w:val="28"/>
        </w:rPr>
        <w:t xml:space="preserve">           </w:t>
      </w:r>
      <w:r w:rsidR="003B2FAF" w:rsidRPr="00340340">
        <w:rPr>
          <w:rFonts w:ascii="仿宋" w:eastAsia="仿宋" w:hAnsi="仿宋" w:hint="eastAsia"/>
          <w:sz w:val="28"/>
          <w:szCs w:val="28"/>
        </w:rPr>
        <w:t xml:space="preserve">      </w:t>
      </w:r>
      <w:r w:rsidR="00E670C6" w:rsidRPr="00340340">
        <w:rPr>
          <w:rFonts w:ascii="仿宋" w:eastAsia="仿宋" w:hAnsi="仿宋" w:hint="eastAsia"/>
          <w:sz w:val="28"/>
          <w:szCs w:val="28"/>
        </w:rPr>
        <w:t xml:space="preserve"> </w:t>
      </w:r>
      <w:r w:rsidR="00001911" w:rsidRPr="00340340">
        <w:rPr>
          <w:rFonts w:ascii="楷体" w:eastAsia="楷体" w:hAnsi="楷体" w:hint="eastAsia"/>
          <w:sz w:val="28"/>
          <w:szCs w:val="28"/>
        </w:rPr>
        <w:t>（标准工作部</w:t>
      </w:r>
      <w:r w:rsidR="00E670C6" w:rsidRPr="00340340">
        <w:rPr>
          <w:rFonts w:ascii="楷体" w:eastAsia="楷体" w:hAnsi="楷体" w:hint="eastAsia"/>
          <w:sz w:val="28"/>
          <w:szCs w:val="28"/>
        </w:rPr>
        <w:t>、创新分会</w:t>
      </w:r>
      <w:r w:rsidR="00001911" w:rsidRPr="00340340">
        <w:rPr>
          <w:rFonts w:ascii="楷体" w:eastAsia="楷体" w:hAnsi="楷体" w:hint="eastAsia"/>
          <w:sz w:val="28"/>
          <w:szCs w:val="28"/>
        </w:rPr>
        <w:t>）</w:t>
      </w:r>
    </w:p>
    <w:p w:rsidR="0020330D" w:rsidRPr="00340340" w:rsidRDefault="00A60966" w:rsidP="008C1192">
      <w:pPr>
        <w:pStyle w:val="a8"/>
        <w:widowControl w:val="0"/>
        <w:shd w:val="clear" w:color="auto" w:fill="FFFFFF"/>
        <w:snapToGrid w:val="0"/>
        <w:spacing w:before="0" w:beforeAutospacing="0" w:after="0" w:afterAutospacing="0" w:line="560" w:lineRule="exact"/>
        <w:ind w:firstLineChars="200" w:firstLine="560"/>
        <w:jc w:val="right"/>
        <w:rPr>
          <w:rFonts w:ascii="仿宋" w:eastAsia="仿宋" w:hAnsi="仿宋"/>
          <w:sz w:val="28"/>
          <w:szCs w:val="28"/>
        </w:rPr>
      </w:pPr>
      <w:r w:rsidRPr="00340340">
        <w:rPr>
          <w:rFonts w:ascii="仿宋" w:eastAsia="仿宋" w:hAnsi="仿宋" w:hint="eastAsia"/>
          <w:sz w:val="28"/>
          <w:szCs w:val="28"/>
        </w:rPr>
        <w:t xml:space="preserve">  </w:t>
      </w:r>
      <w:r w:rsidR="001A25AA" w:rsidRPr="00340340">
        <w:rPr>
          <w:rFonts w:ascii="仿宋" w:eastAsia="仿宋" w:hAnsi="仿宋" w:hint="eastAsia"/>
          <w:sz w:val="28"/>
          <w:szCs w:val="28"/>
        </w:rPr>
        <w:t xml:space="preserve">          </w:t>
      </w:r>
      <w:r w:rsidR="001A25AA" w:rsidRPr="00340340">
        <w:rPr>
          <w:rFonts w:ascii="楷体" w:eastAsia="楷体" w:hAnsi="楷体" w:hint="eastAsia"/>
          <w:sz w:val="28"/>
          <w:szCs w:val="28"/>
        </w:rPr>
        <w:t xml:space="preserve">  </w:t>
      </w:r>
      <w:r w:rsidR="005323E5" w:rsidRPr="00340340">
        <w:rPr>
          <w:rFonts w:ascii="楷体" w:eastAsia="楷体" w:hAnsi="楷体" w:hint="eastAsia"/>
          <w:sz w:val="28"/>
          <w:szCs w:val="28"/>
        </w:rPr>
        <w:t xml:space="preserve">  </w:t>
      </w:r>
      <w:r w:rsidR="001A25AA" w:rsidRPr="00340340">
        <w:rPr>
          <w:rFonts w:ascii="仿宋" w:eastAsia="仿宋" w:hAnsi="仿宋" w:hint="eastAsia"/>
          <w:sz w:val="28"/>
          <w:szCs w:val="28"/>
        </w:rPr>
        <w:t xml:space="preserve"> </w:t>
      </w:r>
    </w:p>
    <w:p w:rsidR="00056F45" w:rsidRPr="00340340" w:rsidRDefault="00A63F7D" w:rsidP="0043012D">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r w:rsidRPr="00340340">
        <w:rPr>
          <w:rFonts w:ascii="黑体" w:eastAsia="黑体" w:hAnsi="黑体" w:hint="eastAsia"/>
          <w:b/>
          <w:bCs/>
          <w:sz w:val="36"/>
          <w:szCs w:val="36"/>
        </w:rPr>
        <w:t>周京英副书记参加2019中国义乌进口商品博览会</w:t>
      </w:r>
    </w:p>
    <w:p w:rsidR="00A27ADB" w:rsidRPr="00340340" w:rsidRDefault="00A27ADB" w:rsidP="008C1192">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p>
    <w:p w:rsidR="00A63F7D" w:rsidRPr="00340340" w:rsidRDefault="00A63F7D"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由中国商业联合会、中国国际商会主办，浙江省人民政府支持，商务部外贸发展事务局、浙江省商务厅、中国国际贸易促进委员会浙江省委员会和义乌市人民政府共同承办的2019中国义乌进口商品博览会于</w:t>
      </w:r>
      <w:r w:rsidR="003F2533" w:rsidRPr="00340340">
        <w:rPr>
          <w:rFonts w:ascii="仿宋" w:eastAsia="仿宋" w:hAnsi="仿宋" w:hint="eastAsia"/>
          <w:sz w:val="28"/>
          <w:szCs w:val="28"/>
        </w:rPr>
        <w:t>2019年</w:t>
      </w:r>
      <w:r w:rsidRPr="00340340">
        <w:rPr>
          <w:rFonts w:ascii="仿宋" w:eastAsia="仿宋" w:hAnsi="仿宋" w:hint="eastAsia"/>
          <w:sz w:val="28"/>
          <w:szCs w:val="28"/>
        </w:rPr>
        <w:t>5月23日在义乌国际博览中心开幕。中国商业联合会党委副书记周京英</w:t>
      </w:r>
      <w:r w:rsidR="003F2533" w:rsidRPr="00340340">
        <w:rPr>
          <w:rFonts w:ascii="仿宋" w:eastAsia="仿宋" w:hAnsi="仿宋" w:hint="eastAsia"/>
          <w:sz w:val="28"/>
          <w:szCs w:val="28"/>
        </w:rPr>
        <w:t>出席</w:t>
      </w:r>
      <w:r w:rsidRPr="00340340">
        <w:rPr>
          <w:rFonts w:ascii="仿宋" w:eastAsia="仿宋" w:hAnsi="仿宋" w:hint="eastAsia"/>
          <w:sz w:val="28"/>
          <w:szCs w:val="28"/>
        </w:rPr>
        <w:t>开幕式。</w:t>
      </w:r>
      <w:r w:rsidR="003F2533" w:rsidRPr="00340340">
        <w:rPr>
          <w:rFonts w:ascii="仿宋" w:eastAsia="仿宋" w:hAnsi="仿宋" w:hint="eastAsia"/>
          <w:sz w:val="28"/>
          <w:szCs w:val="28"/>
        </w:rPr>
        <w:t>出席</w:t>
      </w:r>
      <w:r w:rsidRPr="00340340">
        <w:rPr>
          <w:rFonts w:ascii="仿宋" w:eastAsia="仿宋" w:hAnsi="仿宋" w:hint="eastAsia"/>
          <w:sz w:val="28"/>
          <w:szCs w:val="28"/>
        </w:rPr>
        <w:t>开幕式的</w:t>
      </w:r>
      <w:r w:rsidR="003F2533" w:rsidRPr="00340340">
        <w:rPr>
          <w:rFonts w:ascii="仿宋" w:eastAsia="仿宋" w:hAnsi="仿宋" w:hint="eastAsia"/>
          <w:sz w:val="28"/>
          <w:szCs w:val="28"/>
        </w:rPr>
        <w:t>领导和嘉宾</w:t>
      </w:r>
      <w:r w:rsidRPr="00340340">
        <w:rPr>
          <w:rFonts w:ascii="仿宋" w:eastAsia="仿宋" w:hAnsi="仿宋" w:hint="eastAsia"/>
          <w:sz w:val="28"/>
          <w:szCs w:val="28"/>
        </w:rPr>
        <w:t>还</w:t>
      </w:r>
      <w:r w:rsidRPr="00340340">
        <w:rPr>
          <w:rFonts w:ascii="仿宋" w:eastAsia="仿宋" w:hAnsi="仿宋" w:hint="eastAsia"/>
          <w:sz w:val="28"/>
          <w:szCs w:val="28"/>
        </w:rPr>
        <w:lastRenderedPageBreak/>
        <w:t>有：金华市副市长、义乌市市长王健</w:t>
      </w:r>
      <w:r w:rsidR="003F2533" w:rsidRPr="00340340">
        <w:rPr>
          <w:rFonts w:ascii="仿宋" w:eastAsia="仿宋" w:hAnsi="仿宋" w:hint="eastAsia"/>
          <w:sz w:val="28"/>
          <w:szCs w:val="28"/>
        </w:rPr>
        <w:t>，</w:t>
      </w:r>
      <w:r w:rsidRPr="00340340">
        <w:rPr>
          <w:rFonts w:ascii="仿宋" w:eastAsia="仿宋" w:hAnsi="仿宋" w:hint="eastAsia"/>
          <w:sz w:val="28"/>
          <w:szCs w:val="28"/>
        </w:rPr>
        <w:t>商贸局外贸发展事务局副局长金虹</w:t>
      </w:r>
      <w:r w:rsidR="003F2533" w:rsidRPr="00340340">
        <w:rPr>
          <w:rFonts w:ascii="仿宋" w:eastAsia="仿宋" w:hAnsi="仿宋" w:hint="eastAsia"/>
          <w:sz w:val="28"/>
          <w:szCs w:val="28"/>
        </w:rPr>
        <w:t>，</w:t>
      </w:r>
      <w:r w:rsidRPr="00340340">
        <w:rPr>
          <w:rFonts w:ascii="仿宋" w:eastAsia="仿宋" w:hAnsi="仿宋" w:hint="eastAsia"/>
          <w:sz w:val="28"/>
          <w:szCs w:val="28"/>
        </w:rPr>
        <w:t>商务部驻上海特派员办事处调研员朱晓燕</w:t>
      </w:r>
      <w:r w:rsidR="003F2533" w:rsidRPr="00340340">
        <w:rPr>
          <w:rFonts w:ascii="仿宋" w:eastAsia="仿宋" w:hAnsi="仿宋" w:hint="eastAsia"/>
          <w:sz w:val="28"/>
          <w:szCs w:val="28"/>
        </w:rPr>
        <w:t>，</w:t>
      </w:r>
      <w:r w:rsidRPr="00340340">
        <w:rPr>
          <w:rFonts w:ascii="仿宋" w:eastAsia="仿宋" w:hAnsi="仿宋" w:hint="eastAsia"/>
          <w:sz w:val="28"/>
          <w:szCs w:val="28"/>
        </w:rPr>
        <w:t>浙江省商务厅对外贸易管理处处长陈志成</w:t>
      </w:r>
      <w:r w:rsidR="003F2533" w:rsidRPr="00340340">
        <w:rPr>
          <w:rFonts w:ascii="仿宋" w:eastAsia="仿宋" w:hAnsi="仿宋" w:hint="eastAsia"/>
          <w:sz w:val="28"/>
          <w:szCs w:val="28"/>
        </w:rPr>
        <w:t>，</w:t>
      </w:r>
      <w:r w:rsidRPr="00340340">
        <w:rPr>
          <w:rFonts w:ascii="仿宋" w:eastAsia="仿宋" w:hAnsi="仿宋" w:hint="eastAsia"/>
          <w:sz w:val="28"/>
          <w:szCs w:val="28"/>
        </w:rPr>
        <w:t>中国人民对外友好协会欧亚工作部主任沈昕，中国商业联合会副秘书长兼会展部部长祁宝平一同出席开幕式。</w:t>
      </w:r>
    </w:p>
    <w:p w:rsidR="00A63F7D" w:rsidRPr="00340340" w:rsidRDefault="00A63F7D"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本届展会以“买全球，卖全球，打造世界小商品之都”为主题，共设国际标准展位2012个，参展企业近1000家，展览面积5万平方米以上，分设亚洲I、亚洲II、欧洲、美大非&amp;跨境贸易&amp;浙江省国际友城交流、进口糖酒五个主题馆，参展商来自全球85个国家和地区，包括俄罗斯、波兰、捷克、越南、马来西亚、印度、斯里兰卡等40个“一带一路”沿线国家和地区。同时在义乌中国进口商品城、义乌中国进口商品城宾王直营中心设立分会场。</w:t>
      </w:r>
      <w:r w:rsidR="00E2239A" w:rsidRPr="00340340">
        <w:rPr>
          <w:rFonts w:ascii="仿宋" w:eastAsia="仿宋" w:hAnsi="仿宋" w:hint="eastAsia"/>
          <w:sz w:val="28"/>
          <w:szCs w:val="28"/>
        </w:rPr>
        <w:t>4天展期</w:t>
      </w:r>
      <w:r w:rsidR="00DD6D5E" w:rsidRPr="00340340">
        <w:rPr>
          <w:rFonts w:ascii="仿宋" w:eastAsia="仿宋" w:hAnsi="仿宋" w:hint="eastAsia"/>
          <w:sz w:val="28"/>
          <w:szCs w:val="28"/>
        </w:rPr>
        <w:t>吸引</w:t>
      </w:r>
      <w:r w:rsidR="00E2239A" w:rsidRPr="00340340">
        <w:rPr>
          <w:rFonts w:ascii="仿宋" w:eastAsia="仿宋" w:hAnsi="仿宋"/>
          <w:sz w:val="28"/>
          <w:szCs w:val="28"/>
        </w:rPr>
        <w:t>11.96</w:t>
      </w:r>
      <w:r w:rsidR="00001911" w:rsidRPr="00340340">
        <w:rPr>
          <w:rFonts w:ascii="仿宋" w:eastAsia="仿宋" w:hAnsi="仿宋"/>
          <w:sz w:val="28"/>
          <w:szCs w:val="28"/>
        </w:rPr>
        <w:t>万人次</w:t>
      </w:r>
      <w:r w:rsidR="00001911" w:rsidRPr="00340340">
        <w:rPr>
          <w:rFonts w:ascii="仿宋" w:eastAsia="仿宋" w:hAnsi="仿宋" w:hint="eastAsia"/>
          <w:sz w:val="28"/>
          <w:szCs w:val="28"/>
        </w:rPr>
        <w:t>参展参会</w:t>
      </w:r>
      <w:r w:rsidR="00001911" w:rsidRPr="00340340">
        <w:rPr>
          <w:rFonts w:ascii="仿宋" w:eastAsia="仿宋" w:hAnsi="仿宋"/>
          <w:sz w:val="28"/>
          <w:szCs w:val="28"/>
        </w:rPr>
        <w:t>，其中专业采购商</w:t>
      </w:r>
      <w:r w:rsidR="00E2239A" w:rsidRPr="00340340">
        <w:rPr>
          <w:rFonts w:ascii="仿宋" w:eastAsia="仿宋" w:hAnsi="仿宋"/>
          <w:sz w:val="28"/>
          <w:szCs w:val="28"/>
        </w:rPr>
        <w:t>4.88万人</w:t>
      </w:r>
      <w:r w:rsidR="00001911" w:rsidRPr="00340340">
        <w:rPr>
          <w:rFonts w:ascii="仿宋" w:eastAsia="仿宋" w:hAnsi="仿宋" w:hint="eastAsia"/>
          <w:sz w:val="28"/>
          <w:szCs w:val="28"/>
        </w:rPr>
        <w:t>次</w:t>
      </w:r>
      <w:r w:rsidR="00E2239A" w:rsidRPr="00340340">
        <w:rPr>
          <w:rFonts w:ascii="仿宋" w:eastAsia="仿宋" w:hAnsi="仿宋"/>
          <w:sz w:val="28"/>
          <w:szCs w:val="28"/>
        </w:rPr>
        <w:t>，同比去年上升48.41%</w:t>
      </w:r>
      <w:r w:rsidR="00001911" w:rsidRPr="00340340">
        <w:rPr>
          <w:rFonts w:ascii="仿宋" w:eastAsia="仿宋" w:hAnsi="仿宋" w:hint="eastAsia"/>
          <w:sz w:val="28"/>
          <w:szCs w:val="28"/>
        </w:rPr>
        <w:t>。观众</w:t>
      </w:r>
      <w:r w:rsidR="00E2239A" w:rsidRPr="00340340">
        <w:rPr>
          <w:rFonts w:ascii="仿宋" w:eastAsia="仿宋" w:hAnsi="仿宋"/>
          <w:sz w:val="28"/>
          <w:szCs w:val="28"/>
        </w:rPr>
        <w:t>来自俄罗斯、韩国、日本、印度、玻利维亚、也门、菲律宾、墨西哥、马来西亚、西班牙、法国、加拿大等81个国家</w:t>
      </w:r>
      <w:r w:rsidR="00001911" w:rsidRPr="00340340">
        <w:rPr>
          <w:rFonts w:ascii="仿宋" w:eastAsia="仿宋" w:hAnsi="仿宋" w:hint="eastAsia"/>
          <w:sz w:val="28"/>
          <w:szCs w:val="28"/>
        </w:rPr>
        <w:t>和</w:t>
      </w:r>
      <w:r w:rsidR="00E2239A" w:rsidRPr="00340340">
        <w:rPr>
          <w:rFonts w:ascii="仿宋" w:eastAsia="仿宋" w:hAnsi="仿宋"/>
          <w:sz w:val="28"/>
          <w:szCs w:val="28"/>
        </w:rPr>
        <w:t>国内浙江、上海、江苏、山东、广东等31个省市自治区。</w:t>
      </w:r>
    </w:p>
    <w:p w:rsidR="00F525CB" w:rsidRPr="00340340" w:rsidRDefault="00A63F7D" w:rsidP="00001911">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中国商业联合会会展部邀请了10多个国家的进口商品参与本届博览会，其中有:法国的红酒、越南的咖啡、俄罗斯的食品、韩国的化妆品、泰国的工艺品等。组委会还专门为中国商业联合会邀请的参展商设立了中国商业联合会展区。</w:t>
      </w:r>
      <w:r w:rsidR="00B36B5A" w:rsidRPr="00340340">
        <w:rPr>
          <w:rFonts w:ascii="仿宋" w:eastAsia="仿宋" w:hAnsi="仿宋" w:hint="eastAsia"/>
          <w:sz w:val="28"/>
          <w:szCs w:val="28"/>
        </w:rPr>
        <w:t xml:space="preserve">            </w:t>
      </w:r>
      <w:r w:rsidR="00F525CB" w:rsidRPr="00340340">
        <w:rPr>
          <w:rFonts w:ascii="仿宋" w:eastAsia="仿宋" w:hAnsi="仿宋" w:hint="eastAsia"/>
          <w:sz w:val="28"/>
          <w:szCs w:val="28"/>
        </w:rPr>
        <w:t xml:space="preserve">  </w:t>
      </w:r>
    </w:p>
    <w:p w:rsidR="00001911" w:rsidRPr="00340340" w:rsidRDefault="00B36B5A" w:rsidP="00F525CB">
      <w:pPr>
        <w:pStyle w:val="a8"/>
        <w:widowControl w:val="0"/>
        <w:shd w:val="clear" w:color="auto" w:fill="FFFFFF"/>
        <w:snapToGrid w:val="0"/>
        <w:spacing w:before="0" w:beforeAutospacing="0" w:after="0" w:afterAutospacing="0" w:line="560" w:lineRule="exact"/>
        <w:ind w:firstLineChars="200" w:firstLine="560"/>
        <w:jc w:val="right"/>
        <w:rPr>
          <w:rFonts w:ascii="仿宋" w:eastAsia="仿宋" w:hAnsi="仿宋"/>
          <w:sz w:val="28"/>
          <w:szCs w:val="28"/>
        </w:rPr>
      </w:pPr>
      <w:r w:rsidRPr="00340340">
        <w:rPr>
          <w:rFonts w:ascii="仿宋" w:eastAsia="仿宋" w:hAnsi="仿宋" w:hint="eastAsia"/>
          <w:sz w:val="28"/>
          <w:szCs w:val="28"/>
        </w:rPr>
        <w:t xml:space="preserve"> </w:t>
      </w:r>
      <w:r w:rsidR="00001911" w:rsidRPr="00340340">
        <w:rPr>
          <w:rFonts w:ascii="楷体" w:eastAsia="楷体" w:hAnsi="楷体" w:hint="eastAsia"/>
          <w:sz w:val="28"/>
          <w:szCs w:val="28"/>
        </w:rPr>
        <w:t>（会展部）</w:t>
      </w:r>
    </w:p>
    <w:p w:rsidR="007E291F" w:rsidRPr="00340340" w:rsidRDefault="007E291F" w:rsidP="00A96622">
      <w:pPr>
        <w:pStyle w:val="a8"/>
        <w:widowControl w:val="0"/>
        <w:shd w:val="clear" w:color="auto" w:fill="FFFFFF"/>
        <w:snapToGrid w:val="0"/>
        <w:spacing w:before="0" w:beforeAutospacing="0" w:after="0" w:afterAutospacing="0" w:line="560" w:lineRule="exact"/>
        <w:ind w:rightChars="-83" w:right="-199"/>
        <w:rPr>
          <w:rFonts w:ascii="黑体" w:eastAsia="黑体" w:hAnsi="黑体"/>
          <w:b/>
          <w:bCs/>
          <w:sz w:val="36"/>
          <w:szCs w:val="36"/>
        </w:rPr>
      </w:pPr>
    </w:p>
    <w:p w:rsidR="007E291F" w:rsidRPr="00340340" w:rsidRDefault="007E291F" w:rsidP="00A96622">
      <w:pPr>
        <w:pStyle w:val="a8"/>
        <w:widowControl w:val="0"/>
        <w:shd w:val="clear" w:color="auto" w:fill="FFFFFF"/>
        <w:snapToGrid w:val="0"/>
        <w:spacing w:before="0" w:beforeAutospacing="0" w:after="0" w:afterAutospacing="0" w:line="560" w:lineRule="exact"/>
        <w:ind w:rightChars="-83" w:right="-199"/>
        <w:rPr>
          <w:rFonts w:ascii="黑体" w:eastAsia="黑体" w:hAnsi="黑体"/>
          <w:b/>
          <w:bCs/>
          <w:sz w:val="36"/>
          <w:szCs w:val="36"/>
        </w:rPr>
      </w:pPr>
    </w:p>
    <w:p w:rsidR="00A63F7D" w:rsidRPr="00340340" w:rsidRDefault="00A63F7D" w:rsidP="00A96622">
      <w:pPr>
        <w:pStyle w:val="a8"/>
        <w:widowControl w:val="0"/>
        <w:shd w:val="clear" w:color="auto" w:fill="FFFFFF"/>
        <w:snapToGrid w:val="0"/>
        <w:spacing w:before="0" w:beforeAutospacing="0" w:after="0" w:afterAutospacing="0" w:line="560" w:lineRule="exact"/>
        <w:ind w:rightChars="-83" w:right="-199"/>
        <w:rPr>
          <w:rFonts w:ascii="黑体" w:eastAsia="黑体" w:hAnsi="黑体"/>
          <w:b/>
          <w:bCs/>
          <w:sz w:val="36"/>
          <w:szCs w:val="36"/>
        </w:rPr>
      </w:pPr>
      <w:r w:rsidRPr="00340340">
        <w:rPr>
          <w:rFonts w:ascii="黑体" w:eastAsia="黑体" w:hAnsi="黑体" w:hint="eastAsia"/>
          <w:b/>
          <w:bCs/>
          <w:sz w:val="36"/>
          <w:szCs w:val="36"/>
        </w:rPr>
        <w:t>张丽君副会长出席《倡导尚德守信 优化营商环境》</w:t>
      </w:r>
    </w:p>
    <w:p w:rsidR="00A63F7D" w:rsidRPr="00340340" w:rsidRDefault="00A63F7D" w:rsidP="008C1192">
      <w:pPr>
        <w:pStyle w:val="a8"/>
        <w:widowControl w:val="0"/>
        <w:shd w:val="clear" w:color="auto" w:fill="FFFFFF"/>
        <w:snapToGrid w:val="0"/>
        <w:spacing w:before="0" w:beforeAutospacing="0" w:after="0" w:afterAutospacing="0" w:line="560" w:lineRule="exact"/>
        <w:ind w:rightChars="-83" w:right="-199"/>
        <w:jc w:val="center"/>
        <w:rPr>
          <w:rFonts w:ascii="微软雅黑" w:eastAsia="微软雅黑" w:hAnsi="微软雅黑"/>
          <w:sz w:val="22"/>
          <w:szCs w:val="22"/>
        </w:rPr>
      </w:pPr>
      <w:r w:rsidRPr="00340340">
        <w:rPr>
          <w:rFonts w:ascii="黑体" w:eastAsia="黑体" w:hAnsi="黑体" w:hint="eastAsia"/>
          <w:b/>
          <w:bCs/>
          <w:sz w:val="36"/>
          <w:szCs w:val="36"/>
        </w:rPr>
        <w:t>专题研讨会</w:t>
      </w:r>
    </w:p>
    <w:p w:rsidR="00C85889" w:rsidRPr="00340340" w:rsidRDefault="00C85889" w:rsidP="008C1192">
      <w:pPr>
        <w:snapToGrid w:val="0"/>
        <w:spacing w:after="60" w:line="560" w:lineRule="exact"/>
        <w:rPr>
          <w:rFonts w:ascii="仿宋" w:eastAsia="仿宋" w:hAnsi="仿宋"/>
          <w:b/>
          <w:sz w:val="28"/>
          <w:szCs w:val="28"/>
        </w:rPr>
      </w:pPr>
    </w:p>
    <w:p w:rsidR="00A63F7D" w:rsidRPr="00340340" w:rsidRDefault="00A63F7D"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由中国商业联合会主办，金拱门（中国）有限公司协办的《倡导尚德守信 优化营商环境》专题研讨会于2019年6月3日至5日在云南省昆明市举办，中国商业联合会副会长张丽君，麦当劳（中国）有限公司</w:t>
      </w:r>
      <w:r w:rsidR="00E2239A" w:rsidRPr="00340340">
        <w:rPr>
          <w:rFonts w:ascii="仿宋" w:eastAsia="仿宋" w:hAnsi="仿宋" w:hint="eastAsia"/>
          <w:sz w:val="28"/>
          <w:szCs w:val="28"/>
        </w:rPr>
        <w:t>副总裁</w:t>
      </w:r>
      <w:r w:rsidRPr="00340340">
        <w:rPr>
          <w:rFonts w:ascii="仿宋" w:eastAsia="仿宋" w:hAnsi="仿宋" w:hint="eastAsia"/>
          <w:sz w:val="28"/>
          <w:szCs w:val="28"/>
        </w:rPr>
        <w:t>赵崔华出席，行业发展部李家佳、韩秀伟陪同。</w:t>
      </w:r>
    </w:p>
    <w:p w:rsidR="00A63F7D" w:rsidRPr="00340340" w:rsidRDefault="00A63F7D" w:rsidP="008C1192">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本次专题研讨会共邀请到来自北京市商务局、天津市商务局、山西省商务厅、内蒙古自治区商务厅、辽宁省商务厅、黑龙江省商务厅、海南省商务厅等全国23个省市的商务主管部门负责餐饮及商贸流通工作同志到会。</w:t>
      </w:r>
    </w:p>
    <w:p w:rsidR="00001911" w:rsidRPr="00340340" w:rsidRDefault="00A63F7D" w:rsidP="00001911">
      <w:pPr>
        <w:pStyle w:val="a8"/>
        <w:widowControl w:val="0"/>
        <w:shd w:val="clear" w:color="auto" w:fill="FFFFFF"/>
        <w:snapToGrid w:val="0"/>
        <w:spacing w:before="0" w:beforeAutospacing="0" w:after="0" w:afterAutospacing="0" w:line="560" w:lineRule="exact"/>
        <w:ind w:firstLineChars="200" w:firstLine="560"/>
        <w:rPr>
          <w:rFonts w:ascii="仿宋" w:eastAsia="仿宋" w:hAnsi="仿宋"/>
          <w:sz w:val="28"/>
          <w:szCs w:val="28"/>
        </w:rPr>
      </w:pPr>
      <w:r w:rsidRPr="00340340">
        <w:rPr>
          <w:rFonts w:ascii="仿宋" w:eastAsia="仿宋" w:hAnsi="仿宋" w:hint="eastAsia"/>
          <w:sz w:val="28"/>
          <w:szCs w:val="28"/>
        </w:rPr>
        <w:t>研讨会分为两个环节</w:t>
      </w:r>
      <w:r w:rsidR="00001911" w:rsidRPr="00340340">
        <w:rPr>
          <w:rFonts w:ascii="仿宋" w:eastAsia="仿宋" w:hAnsi="仿宋" w:hint="eastAsia"/>
          <w:sz w:val="28"/>
          <w:szCs w:val="28"/>
        </w:rPr>
        <w:t>。</w:t>
      </w:r>
      <w:r w:rsidRPr="00340340">
        <w:rPr>
          <w:rFonts w:ascii="仿宋" w:eastAsia="仿宋" w:hAnsi="仿宋" w:hint="eastAsia"/>
          <w:sz w:val="28"/>
          <w:szCs w:val="28"/>
        </w:rPr>
        <w:t>与会人员首选麦当劳（中国）有限公司在云南省昆明市的蔬菜生产基地进行实地考察，了解其在产业链源头的种植工艺流程、品质把控、冷链运输等环节如何做到将蔬菜从“田间送到餐桌”，为消费者提供安全、绿色的健康食品。</w:t>
      </w:r>
      <w:r w:rsidR="00001911" w:rsidRPr="00340340">
        <w:rPr>
          <w:rFonts w:ascii="仿宋" w:eastAsia="仿宋" w:hAnsi="仿宋" w:hint="eastAsia"/>
          <w:sz w:val="28"/>
          <w:szCs w:val="28"/>
        </w:rPr>
        <w:t>随后</w:t>
      </w:r>
      <w:r w:rsidR="00E2239A" w:rsidRPr="00340340">
        <w:rPr>
          <w:rFonts w:ascii="仿宋" w:eastAsia="仿宋" w:hAnsi="仿宋" w:hint="eastAsia"/>
          <w:sz w:val="28"/>
          <w:szCs w:val="28"/>
        </w:rPr>
        <w:t>张丽君副会长主持了主题研讨环节。</w:t>
      </w:r>
      <w:r w:rsidRPr="00340340">
        <w:rPr>
          <w:rFonts w:ascii="仿宋" w:eastAsia="仿宋" w:hAnsi="仿宋" w:hint="eastAsia"/>
          <w:sz w:val="28"/>
          <w:szCs w:val="28"/>
        </w:rPr>
        <w:t>行业协会、政务商务主管部门、企业、生产源头供应商四方共同围绕研讨会主题，分享各地企业尚德守信经验，探讨政企营商环境共建与创新思路。研讨</w:t>
      </w:r>
      <w:r w:rsidR="00E2239A" w:rsidRPr="00340340">
        <w:rPr>
          <w:rFonts w:ascii="仿宋" w:eastAsia="仿宋" w:hAnsi="仿宋" w:hint="eastAsia"/>
          <w:sz w:val="28"/>
          <w:szCs w:val="28"/>
        </w:rPr>
        <w:t>环节中</w:t>
      </w:r>
      <w:r w:rsidRPr="00340340">
        <w:rPr>
          <w:rFonts w:ascii="仿宋" w:eastAsia="仿宋" w:hAnsi="仿宋" w:hint="eastAsia"/>
          <w:sz w:val="28"/>
          <w:szCs w:val="28"/>
        </w:rPr>
        <w:t>，各地商务主管部门同志踊跃发言，</w:t>
      </w:r>
      <w:r w:rsidR="00E2239A" w:rsidRPr="00340340">
        <w:rPr>
          <w:rFonts w:ascii="仿宋" w:eastAsia="仿宋" w:hAnsi="仿宋" w:hint="eastAsia"/>
          <w:sz w:val="28"/>
          <w:szCs w:val="28"/>
        </w:rPr>
        <w:t>现场气氛热烈。与会代表</w:t>
      </w:r>
      <w:r w:rsidRPr="00340340">
        <w:rPr>
          <w:rFonts w:ascii="仿宋" w:eastAsia="仿宋" w:hAnsi="仿宋" w:hint="eastAsia"/>
          <w:sz w:val="28"/>
          <w:szCs w:val="28"/>
        </w:rPr>
        <w:t>对中国商业联合会举办此次活动</w:t>
      </w:r>
      <w:r w:rsidR="00E2239A" w:rsidRPr="00340340">
        <w:rPr>
          <w:rFonts w:ascii="仿宋" w:eastAsia="仿宋" w:hAnsi="仿宋" w:hint="eastAsia"/>
          <w:sz w:val="28"/>
          <w:szCs w:val="28"/>
        </w:rPr>
        <w:t>表示</w:t>
      </w:r>
      <w:r w:rsidRPr="00340340">
        <w:rPr>
          <w:rFonts w:ascii="仿宋" w:eastAsia="仿宋" w:hAnsi="仿宋" w:hint="eastAsia"/>
          <w:sz w:val="28"/>
          <w:szCs w:val="28"/>
        </w:rPr>
        <w:t>感谢，</w:t>
      </w:r>
      <w:r w:rsidR="00E2239A" w:rsidRPr="00340340">
        <w:rPr>
          <w:rFonts w:ascii="仿宋" w:eastAsia="仿宋" w:hAnsi="仿宋" w:hint="eastAsia"/>
          <w:sz w:val="28"/>
          <w:szCs w:val="28"/>
        </w:rPr>
        <w:t>对麦当劳品的质控制和流程监管</w:t>
      </w:r>
      <w:r w:rsidR="00E2239A" w:rsidRPr="00340340">
        <w:rPr>
          <w:rFonts w:ascii="仿宋" w:eastAsia="仿宋" w:hAnsi="仿宋" w:hint="eastAsia"/>
          <w:sz w:val="28"/>
          <w:szCs w:val="28"/>
        </w:rPr>
        <w:lastRenderedPageBreak/>
        <w:t>表示</w:t>
      </w:r>
      <w:r w:rsidRPr="00340340">
        <w:rPr>
          <w:rFonts w:ascii="仿宋" w:eastAsia="仿宋" w:hAnsi="仿宋" w:hint="eastAsia"/>
          <w:sz w:val="28"/>
          <w:szCs w:val="28"/>
        </w:rPr>
        <w:t>认可，</w:t>
      </w:r>
      <w:r w:rsidR="002648C9" w:rsidRPr="00340340">
        <w:rPr>
          <w:rFonts w:ascii="仿宋" w:eastAsia="仿宋" w:hAnsi="仿宋" w:hint="eastAsia"/>
          <w:sz w:val="28"/>
          <w:szCs w:val="28"/>
        </w:rPr>
        <w:t>同时</w:t>
      </w:r>
      <w:r w:rsidRPr="00340340">
        <w:rPr>
          <w:rFonts w:ascii="仿宋" w:eastAsia="仿宋" w:hAnsi="仿宋" w:hint="eastAsia"/>
          <w:sz w:val="28"/>
          <w:szCs w:val="28"/>
        </w:rPr>
        <w:t>期待通过中国商业联合会、麦当劳（中国）、地方商务主管部门三方共同努力下，促成麦当劳（中国）有限公司</w:t>
      </w:r>
      <w:r w:rsidR="002648C9" w:rsidRPr="00340340">
        <w:rPr>
          <w:rFonts w:ascii="仿宋" w:eastAsia="仿宋" w:hAnsi="仿宋" w:hint="eastAsia"/>
          <w:sz w:val="28"/>
          <w:szCs w:val="28"/>
        </w:rPr>
        <w:t>在更多省、市、区县</w:t>
      </w:r>
      <w:r w:rsidRPr="00340340">
        <w:rPr>
          <w:rFonts w:ascii="仿宋" w:eastAsia="仿宋" w:hAnsi="仿宋" w:hint="eastAsia"/>
          <w:sz w:val="28"/>
          <w:szCs w:val="28"/>
        </w:rPr>
        <w:t>投资建立生产基地</w:t>
      </w:r>
      <w:r w:rsidR="002648C9" w:rsidRPr="00340340">
        <w:rPr>
          <w:rFonts w:ascii="仿宋" w:eastAsia="仿宋" w:hAnsi="仿宋" w:hint="eastAsia"/>
          <w:sz w:val="28"/>
          <w:szCs w:val="28"/>
        </w:rPr>
        <w:t>，或者</w:t>
      </w:r>
      <w:r w:rsidRPr="00340340">
        <w:rPr>
          <w:rFonts w:ascii="仿宋" w:eastAsia="仿宋" w:hAnsi="仿宋" w:hint="eastAsia"/>
          <w:sz w:val="28"/>
          <w:szCs w:val="28"/>
        </w:rPr>
        <w:t>选择当地供应商为广大消费者提供安全健康的食品原材料。</w:t>
      </w:r>
      <w:r w:rsidR="00001911" w:rsidRPr="00340340">
        <w:rPr>
          <w:rFonts w:ascii="仿宋" w:eastAsia="仿宋" w:hAnsi="仿宋" w:hint="eastAsia"/>
          <w:sz w:val="28"/>
          <w:szCs w:val="28"/>
        </w:rPr>
        <w:t xml:space="preserve">                 </w:t>
      </w:r>
      <w:r w:rsidR="00A12AC6" w:rsidRPr="00340340">
        <w:rPr>
          <w:rFonts w:ascii="楷体" w:eastAsia="楷体" w:hAnsi="楷体" w:hint="eastAsia"/>
          <w:sz w:val="28"/>
          <w:szCs w:val="28"/>
        </w:rPr>
        <w:t>（行业部）</w:t>
      </w:r>
    </w:p>
    <w:p w:rsidR="00001911" w:rsidRPr="00340340" w:rsidRDefault="00001911" w:rsidP="00001911">
      <w:pPr>
        <w:widowControl w:val="0"/>
        <w:snapToGrid w:val="0"/>
        <w:spacing w:after="60" w:line="560" w:lineRule="exact"/>
        <w:rPr>
          <w:rFonts w:ascii="黑体" w:eastAsia="黑体" w:hAnsi="黑体"/>
          <w:b/>
          <w:sz w:val="36"/>
          <w:szCs w:val="36"/>
        </w:rPr>
      </w:pPr>
    </w:p>
    <w:p w:rsidR="00001911" w:rsidRPr="00340340" w:rsidRDefault="00001911" w:rsidP="00A96622">
      <w:pPr>
        <w:pStyle w:val="a8"/>
        <w:widowControl w:val="0"/>
        <w:shd w:val="clear" w:color="auto" w:fill="FFFFFF"/>
        <w:snapToGrid w:val="0"/>
        <w:spacing w:before="0" w:beforeAutospacing="0" w:after="0" w:afterAutospacing="0" w:line="560" w:lineRule="exact"/>
        <w:ind w:firstLineChars="200" w:firstLine="560"/>
        <w:jc w:val="right"/>
        <w:rPr>
          <w:rFonts w:ascii="仿宋" w:eastAsia="仿宋" w:hAnsi="仿宋"/>
          <w:sz w:val="28"/>
          <w:szCs w:val="28"/>
        </w:rPr>
      </w:pPr>
    </w:p>
    <w:p w:rsidR="00DD6D5E" w:rsidRPr="00340340" w:rsidRDefault="0073530F" w:rsidP="00001911">
      <w:pPr>
        <w:snapToGrid w:val="0"/>
        <w:spacing w:line="560" w:lineRule="exact"/>
        <w:jc w:val="both"/>
        <w:rPr>
          <w:rFonts w:ascii="仿宋" w:eastAsia="仿宋" w:hAnsi="仿宋" w:cs="仿宋"/>
          <w:sz w:val="28"/>
          <w:szCs w:val="28"/>
        </w:rPr>
      </w:pPr>
      <w:r w:rsidRPr="00340340">
        <w:rPr>
          <w:rFonts w:ascii="黑体" w:eastAsia="黑体" w:hAnsi="黑体" w:cs="黑体" w:hint="eastAsia"/>
          <w:sz w:val="28"/>
          <w:szCs w:val="28"/>
          <w:shd w:val="pct10" w:color="auto" w:fill="FFFFFF"/>
        </w:rPr>
        <w:t>协 会 动 态</w:t>
      </w:r>
    </w:p>
    <w:p w:rsidR="00001911" w:rsidRPr="00340340" w:rsidRDefault="00001911" w:rsidP="00001911">
      <w:pPr>
        <w:snapToGrid w:val="0"/>
        <w:spacing w:line="560" w:lineRule="exact"/>
        <w:jc w:val="both"/>
        <w:rPr>
          <w:rFonts w:ascii="仿宋" w:eastAsia="仿宋" w:hAnsi="仿宋" w:cs="仿宋"/>
          <w:sz w:val="28"/>
          <w:szCs w:val="28"/>
        </w:rPr>
      </w:pPr>
    </w:p>
    <w:p w:rsidR="00DD6D5E" w:rsidRPr="00340340" w:rsidRDefault="000E7B03" w:rsidP="00A12AC6">
      <w:pPr>
        <w:snapToGrid w:val="0"/>
        <w:spacing w:after="60" w:line="570" w:lineRule="exact"/>
        <w:ind w:firstLineChars="98" w:firstLine="354"/>
        <w:rPr>
          <w:rFonts w:ascii="黑体" w:eastAsia="黑体" w:hAnsi="黑体"/>
          <w:b/>
          <w:sz w:val="36"/>
          <w:szCs w:val="36"/>
        </w:rPr>
      </w:pPr>
      <w:r w:rsidRPr="00340340">
        <w:rPr>
          <w:rFonts w:ascii="黑体" w:eastAsia="黑体" w:hAnsi="黑体" w:hint="eastAsia"/>
          <w:b/>
          <w:sz w:val="36"/>
          <w:szCs w:val="36"/>
        </w:rPr>
        <w:t>中国连锁经营协会发布2018年中国连锁百强</w:t>
      </w:r>
    </w:p>
    <w:p w:rsidR="00A12AC6" w:rsidRPr="00340340" w:rsidRDefault="00A12AC6" w:rsidP="00A12AC6">
      <w:pPr>
        <w:snapToGrid w:val="0"/>
        <w:spacing w:after="60" w:line="570" w:lineRule="exact"/>
        <w:ind w:firstLineChars="98" w:firstLine="354"/>
        <w:rPr>
          <w:rFonts w:ascii="黑体" w:eastAsia="黑体" w:hAnsi="黑体"/>
          <w:b/>
          <w:sz w:val="36"/>
          <w:szCs w:val="36"/>
        </w:rPr>
      </w:pPr>
    </w:p>
    <w:p w:rsidR="0073530F" w:rsidRPr="00340340" w:rsidRDefault="0073530F" w:rsidP="00A12AC6">
      <w:pPr>
        <w:pStyle w:val="a8"/>
        <w:widowControl w:val="0"/>
        <w:shd w:val="clear" w:color="auto" w:fill="FFFFFF"/>
        <w:spacing w:before="0" w:beforeAutospacing="0" w:after="0" w:afterAutospacing="0" w:line="570" w:lineRule="exact"/>
        <w:ind w:firstLineChars="221" w:firstLine="619"/>
        <w:rPr>
          <w:rFonts w:ascii="仿宋" w:eastAsia="仿宋" w:hAnsi="仿宋"/>
          <w:sz w:val="28"/>
          <w:szCs w:val="28"/>
        </w:rPr>
      </w:pPr>
      <w:r w:rsidRPr="00340340">
        <w:rPr>
          <w:rFonts w:ascii="仿宋" w:eastAsia="仿宋" w:hAnsi="仿宋"/>
          <w:sz w:val="28"/>
          <w:szCs w:val="28"/>
        </w:rPr>
        <w:t xml:space="preserve">中国连锁经营协会“2018年行业基本情况及连锁百强调查”日前结束，“2018年中国连锁百强”名单发布。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b/>
          <w:sz w:val="28"/>
          <w:szCs w:val="28"/>
        </w:rPr>
      </w:pPr>
      <w:r w:rsidRPr="00340340">
        <w:rPr>
          <w:rFonts w:ascii="仿宋" w:eastAsia="仿宋" w:hAnsi="仿宋"/>
          <w:b/>
          <w:sz w:val="28"/>
          <w:szCs w:val="28"/>
        </w:rPr>
        <w:t>一、</w:t>
      </w:r>
      <w:r w:rsidR="00DD6D5E" w:rsidRPr="00340340">
        <w:rPr>
          <w:rFonts w:ascii="仿宋" w:eastAsia="仿宋" w:hAnsi="仿宋" w:hint="eastAsia"/>
          <w:b/>
          <w:sz w:val="28"/>
          <w:szCs w:val="28"/>
        </w:rPr>
        <w:t>百强</w:t>
      </w:r>
      <w:r w:rsidRPr="00340340">
        <w:rPr>
          <w:rFonts w:ascii="仿宋" w:eastAsia="仿宋" w:hAnsi="仿宋"/>
          <w:b/>
          <w:sz w:val="28"/>
          <w:szCs w:val="28"/>
        </w:rPr>
        <w:t xml:space="preserve">基本情况 </w:t>
      </w:r>
    </w:p>
    <w:p w:rsidR="0073530F" w:rsidRPr="00340340" w:rsidRDefault="0073530F" w:rsidP="00A12AC6">
      <w:pPr>
        <w:pStyle w:val="a8"/>
        <w:widowControl w:val="0"/>
        <w:shd w:val="clear" w:color="auto" w:fill="FFFFFF"/>
        <w:spacing w:before="0" w:beforeAutospacing="0" w:after="0" w:afterAutospacing="0" w:line="570" w:lineRule="exact"/>
        <w:ind w:firstLineChars="221" w:firstLine="619"/>
        <w:rPr>
          <w:rFonts w:ascii="仿宋" w:eastAsia="仿宋" w:hAnsi="仿宋"/>
          <w:sz w:val="28"/>
          <w:szCs w:val="28"/>
        </w:rPr>
      </w:pPr>
      <w:r w:rsidRPr="00340340">
        <w:rPr>
          <w:rFonts w:ascii="仿宋" w:eastAsia="仿宋" w:hAnsi="仿宋"/>
          <w:sz w:val="28"/>
          <w:szCs w:val="28"/>
        </w:rPr>
        <w:t xml:space="preserve">2018年连锁百强销售规模为2.4万亿元，同比增长7.7%,占社会消费品零售总额的6.3%，比上年增长0.3个百分点。连锁百强门店总数13.8万个，同比增长16.0%。去除便利店门店因素（含苏宁小店），百强门店增速为9.1%，与上年持平。苏宁、永辉、居然之家、银泰、红星美凯龙、屈臣氏、美宜佳、盒马鲜生、信誉楼、孩子王、大参林、全家、百果园、7-11、大张、罗森、汇嘉和健之佳等18家企业实现了销售和门店两位数的同步增长。同时有30家企业的销售额和（或）门店数与上年相比出现不同程度的下降。 </w:t>
      </w:r>
    </w:p>
    <w:p w:rsidR="0073530F" w:rsidRPr="00340340" w:rsidRDefault="0073530F" w:rsidP="00A12AC6">
      <w:pPr>
        <w:pStyle w:val="a8"/>
        <w:widowControl w:val="0"/>
        <w:shd w:val="clear" w:color="auto" w:fill="FFFFFF"/>
        <w:spacing w:before="0" w:beforeAutospacing="0" w:after="0" w:afterAutospacing="0" w:line="570" w:lineRule="exact"/>
        <w:ind w:firstLineChars="221" w:firstLine="619"/>
        <w:rPr>
          <w:rFonts w:ascii="仿宋" w:eastAsia="仿宋" w:hAnsi="仿宋"/>
          <w:sz w:val="28"/>
          <w:szCs w:val="28"/>
        </w:rPr>
      </w:pPr>
      <w:r w:rsidRPr="00340340">
        <w:rPr>
          <w:rFonts w:ascii="仿宋" w:eastAsia="仿宋" w:hAnsi="仿宋"/>
          <w:sz w:val="28"/>
          <w:szCs w:val="28"/>
        </w:rPr>
        <w:lastRenderedPageBreak/>
        <w:t xml:space="preserve">连锁百强销售额的增长部分得益于全渠道业务的积极拓展。2018年，百强线上销售业务增长55.5%，增幅超过全国线上商品零售增幅一倍以上。超市发、卜蜂莲花、五星电器、永辉、美宜佳、百果园、中石化易捷等企业更是实现了三位数的增长。去除线上销售占比较高的苏宁、国美、盒马鲜生等企业，百强企业线上销售额平均占比达到2.6%，比上年提高0.8个百分点，其中超市业态占比为1.9%，比上年提高0.6个百分点。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在发展线上业务的同时，百强企业通过管理优化，运营效率进一步提升。2018年，百强企业平均人效198万元，比上年提高了3.0%。百强平均毛利率由上年的17.9%提高到18.3%，中位数18.1%，与上年持平。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b/>
          <w:sz w:val="28"/>
          <w:szCs w:val="28"/>
        </w:rPr>
      </w:pPr>
      <w:r w:rsidRPr="00340340">
        <w:rPr>
          <w:rFonts w:ascii="仿宋" w:eastAsia="仿宋" w:hAnsi="仿宋"/>
          <w:b/>
          <w:sz w:val="28"/>
          <w:szCs w:val="28"/>
        </w:rPr>
        <w:t xml:space="preserve">二、区域龙头喜忧参半，低线市场发展稳健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百强企业中的区域龙头包括两类：立足一二线或省会城市布局周边市场的省域龙头企业；立足地（县）布局周边市场的地县龙头企业。区域龙头往往多业态发展，在当地市场拥有较高的市场份额和领导地位。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2018年，省域龙头企业销售和门店增长分别为4.2%和5.5%，地县龙头企业销售和门店增长分别为4.9%和-0.7%,均低于百强平均增幅。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从运行情况看，省域龙头企业坪效下降5.6%，人效下降3.4%。毛利率19.2%，比上年略有下降。地县龙头企业运营状况明显优于</w:t>
      </w:r>
      <w:r w:rsidRPr="00340340">
        <w:rPr>
          <w:rFonts w:ascii="仿宋" w:eastAsia="仿宋" w:hAnsi="仿宋"/>
          <w:sz w:val="28"/>
          <w:szCs w:val="28"/>
        </w:rPr>
        <w:lastRenderedPageBreak/>
        <w:t xml:space="preserve">省域龙头企业，坪效人效双双向好，分别提高2.2%和7.5%。毛利率15.2%，比上年提高了0.3个百分点。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省域龙头企业多有国资背景，主力业态以百货店居多，近几年既有外资和跨区域零售商的竞争，又有线上零售的分流，在市场转入低速发展的过程中，机制创新和业态转型重组显得更为迫切。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地县龙头企业机制灵活，契合消费，线上线下竞争尚不激烈，但市场相对狭小，消费人口和购买力有限，一些管理基础好、实力较强的企业正在探索外延性扩张。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b/>
          <w:sz w:val="28"/>
          <w:szCs w:val="28"/>
        </w:rPr>
      </w:pPr>
      <w:r w:rsidRPr="00340340">
        <w:rPr>
          <w:rFonts w:ascii="仿宋" w:eastAsia="仿宋" w:hAnsi="仿宋"/>
          <w:b/>
          <w:sz w:val="28"/>
          <w:szCs w:val="28"/>
        </w:rPr>
        <w:t xml:space="preserve">三、大型超市增长趋弱，国际品牌创新求变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作为快消品零售的主力业态，大型超市普遍面临坪效下降、盈利能力趋弱的困局，增长乏力。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2018年，以经营大型超市为主的百强企业，销售额平均增长2.5%，门店数平均增长3.6%，均显著低于百强平均增速。同时，大型超市营运成本继续上涨，员工薪酬总额上涨13.0%，房租上涨10.6%，成本占销售比重在各业态中居于较高水平。大型超市坪效平均下降8.0%，但人效提高4.9%，毛利率提高0.5个百分点，达到21.5%。通过管理优化，减员增效，大型超市正在寻求逆势增长。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百强中的国际零售品牌以经营大型超市为主。部分国际品牌统计数据显示，2018年，外资大型超市的坪效平均下降4.0%，人效提高5.5%，毛利率达到23.2%，好于百强大型超市的平均水平。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国际零售品牌在导入全渠道零售方面不遗余力。2018年，外资</w:t>
      </w:r>
      <w:r w:rsidRPr="00340340">
        <w:rPr>
          <w:rFonts w:ascii="仿宋" w:eastAsia="仿宋" w:hAnsi="仿宋"/>
          <w:sz w:val="28"/>
          <w:szCs w:val="28"/>
        </w:rPr>
        <w:lastRenderedPageBreak/>
        <w:t xml:space="preserve">百强线上零售额增长61.4%，比百强平均水平高出5.9个百分点。沃尔玛将京东到家扩展到250多家门店，其促销某日的线上销售额比上年同日线上销售增长5倍；家乐福与腾讯合作开展线上业务；永旺在中国设立零售数字化研发机构；伊藤洋华堂上线伊藤商城；宜家与微信合作推出“宜家家居快闪店”，线上业务覆盖到149个城市；高鑫零售引入阿里淘鲜达项目，线上订单累计超过4500万单。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在资本合作方面，国际零售品牌也表现出积极姿态。高鑫引入阿里巴巴，家乐福引入腾讯，麦德龙提出引资计划。永辉购入百佳，利群收购乐天。近两年是外资零售企业与本土企业资本合作最活跃的阶段。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b/>
          <w:sz w:val="28"/>
          <w:szCs w:val="28"/>
        </w:rPr>
      </w:pPr>
      <w:r w:rsidRPr="00340340">
        <w:rPr>
          <w:rFonts w:ascii="仿宋" w:eastAsia="仿宋" w:hAnsi="仿宋"/>
          <w:b/>
          <w:sz w:val="28"/>
          <w:szCs w:val="28"/>
        </w:rPr>
        <w:t xml:space="preserve">四、百货店艰难破局，便利店高歌猛进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2018年销售额和门店数出现下降的百强企业中，以百货店为主营业务的企业占到一半。2018年，百强百货店总销售额同比增长3.5%，门店数同比增长3.9%，线上销售增长46.1%，均低于百强平均水平。毛利率17.4%，比上年下降0.2个百分点。虽然整体业绩平平，但部分百货店企业依然表现出较好的发展势头。以信誉楼为例，2018年，该公司销售额和门店数分别增长17.3%和13.8%，为立足三四线以下市场、采取买断经营的百货店企业树立了标杆。 </w:t>
      </w:r>
    </w:p>
    <w:p w:rsidR="0073530F" w:rsidRPr="00340340" w:rsidRDefault="0073530F" w:rsidP="00A12AC6">
      <w:pPr>
        <w:pStyle w:val="a8"/>
        <w:widowControl w:val="0"/>
        <w:shd w:val="clear" w:color="auto" w:fill="FFFFFF"/>
        <w:spacing w:before="0" w:beforeAutospacing="0" w:after="0" w:afterAutospacing="0" w:line="570" w:lineRule="exact"/>
        <w:ind w:firstLine="480"/>
        <w:rPr>
          <w:rFonts w:ascii="仿宋" w:eastAsia="仿宋" w:hAnsi="仿宋"/>
          <w:sz w:val="28"/>
          <w:szCs w:val="28"/>
        </w:rPr>
      </w:pPr>
      <w:r w:rsidRPr="00340340">
        <w:rPr>
          <w:rFonts w:ascii="仿宋" w:eastAsia="仿宋" w:hAnsi="仿宋"/>
          <w:sz w:val="28"/>
          <w:szCs w:val="28"/>
        </w:rPr>
        <w:t xml:space="preserve">在连锁百强各业态中，便利店增速遥遥领先。2018年，便利店百强企业销售规模同比增长21.1%，门店数量增长18.0%，新增门店11944个，占百强新增门店总数的62.5%。 </w:t>
      </w:r>
    </w:p>
    <w:p w:rsidR="006C586D" w:rsidRPr="00340340" w:rsidRDefault="0073530F" w:rsidP="00A12AC6">
      <w:pPr>
        <w:autoSpaceDN w:val="0"/>
        <w:spacing w:line="570" w:lineRule="exact"/>
        <w:ind w:firstLine="555"/>
        <w:rPr>
          <w:rFonts w:ascii="仿宋" w:eastAsia="仿宋" w:hAnsi="仿宋"/>
          <w:sz w:val="28"/>
          <w:szCs w:val="28"/>
        </w:rPr>
      </w:pPr>
      <w:r w:rsidRPr="00340340">
        <w:rPr>
          <w:rFonts w:ascii="仿宋" w:eastAsia="仿宋" w:hAnsi="仿宋"/>
          <w:sz w:val="28"/>
          <w:szCs w:val="28"/>
        </w:rPr>
        <w:lastRenderedPageBreak/>
        <w:t xml:space="preserve">加盟是便利店门店拓展扩张的主要方式。2018年百强新增门店的加盟店占比超过三分之二，加盟店的平均投资回报期23.3个月，比上年略有缩短。移动互联技术为便利店的日常管理提供了有效工具。2018年，门店运营和员工在移动端的管理工具正在得到广泛使用。 </w:t>
      </w:r>
      <w:r w:rsidR="006C586D" w:rsidRPr="00340340">
        <w:rPr>
          <w:rFonts w:ascii="仿宋" w:eastAsia="仿宋" w:hAnsi="仿宋" w:hint="eastAsia"/>
          <w:sz w:val="28"/>
          <w:szCs w:val="28"/>
        </w:rPr>
        <w:t xml:space="preserve">         </w:t>
      </w:r>
    </w:p>
    <w:p w:rsidR="00A12AC6" w:rsidRPr="00340340" w:rsidRDefault="00A12AC6" w:rsidP="006C586D">
      <w:pPr>
        <w:autoSpaceDN w:val="0"/>
        <w:spacing w:line="560" w:lineRule="exact"/>
        <w:ind w:firstLine="555"/>
        <w:jc w:val="center"/>
        <w:rPr>
          <w:rFonts w:ascii="黑体" w:eastAsia="黑体" w:hAnsi="黑体" w:cs="黑体"/>
          <w:sz w:val="32"/>
          <w:szCs w:val="32"/>
        </w:rPr>
      </w:pPr>
    </w:p>
    <w:p w:rsidR="00A12AC6" w:rsidRPr="00340340" w:rsidRDefault="006C586D" w:rsidP="00A12AC6">
      <w:pPr>
        <w:autoSpaceDN w:val="0"/>
        <w:spacing w:line="560" w:lineRule="exact"/>
        <w:ind w:firstLine="555"/>
        <w:jc w:val="center"/>
        <w:rPr>
          <w:rFonts w:ascii="黑体" w:eastAsia="黑体" w:hAnsi="黑体" w:cs="黑体"/>
          <w:sz w:val="32"/>
          <w:szCs w:val="32"/>
        </w:rPr>
      </w:pPr>
      <w:r w:rsidRPr="00340340">
        <w:rPr>
          <w:rFonts w:ascii="黑体" w:eastAsia="黑体" w:hAnsi="黑体" w:cs="黑体" w:hint="eastAsia"/>
          <w:sz w:val="32"/>
          <w:szCs w:val="32"/>
        </w:rPr>
        <w:t>2018年中国连锁百强</w:t>
      </w:r>
    </w:p>
    <w:tbl>
      <w:tblPr>
        <w:tblW w:w="8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69"/>
        <w:gridCol w:w="1275"/>
        <w:gridCol w:w="851"/>
        <w:gridCol w:w="763"/>
        <w:gridCol w:w="926"/>
      </w:tblGrid>
      <w:tr w:rsidR="0073530F" w:rsidRPr="00340340" w:rsidTr="00041A30">
        <w:trPr>
          <w:trHeight w:hRule="exact" w:val="1008"/>
        </w:trPr>
        <w:tc>
          <w:tcPr>
            <w:tcW w:w="534" w:type="dxa"/>
          </w:tcPr>
          <w:p w:rsidR="0073530F" w:rsidRPr="00340340" w:rsidRDefault="0073530F" w:rsidP="0011507C">
            <w:pPr>
              <w:autoSpaceDN w:val="0"/>
              <w:spacing w:line="440" w:lineRule="exact"/>
              <w:rPr>
                <w:b/>
                <w:sz w:val="21"/>
                <w:szCs w:val="21"/>
              </w:rPr>
            </w:pPr>
            <w:r w:rsidRPr="00340340">
              <w:rPr>
                <w:rFonts w:hint="eastAsia"/>
                <w:b/>
                <w:sz w:val="21"/>
                <w:szCs w:val="21"/>
              </w:rPr>
              <w:t>序号</w:t>
            </w:r>
          </w:p>
        </w:tc>
        <w:tc>
          <w:tcPr>
            <w:tcW w:w="3969" w:type="dxa"/>
            <w:vAlign w:val="center"/>
          </w:tcPr>
          <w:p w:rsidR="0073530F" w:rsidRPr="00340340" w:rsidRDefault="0073530F" w:rsidP="0011507C">
            <w:pPr>
              <w:autoSpaceDN w:val="0"/>
              <w:spacing w:line="440" w:lineRule="exact"/>
              <w:jc w:val="center"/>
              <w:rPr>
                <w:b/>
                <w:sz w:val="21"/>
                <w:szCs w:val="21"/>
              </w:rPr>
            </w:pPr>
            <w:r w:rsidRPr="00340340">
              <w:rPr>
                <w:rFonts w:hint="eastAsia"/>
                <w:b/>
                <w:sz w:val="21"/>
                <w:szCs w:val="21"/>
              </w:rPr>
              <w:t>企业名称</w:t>
            </w:r>
          </w:p>
        </w:tc>
        <w:tc>
          <w:tcPr>
            <w:tcW w:w="1275" w:type="dxa"/>
            <w:vAlign w:val="center"/>
          </w:tcPr>
          <w:p w:rsidR="0073530F" w:rsidRPr="00340340" w:rsidRDefault="0073530F" w:rsidP="0011507C">
            <w:pPr>
              <w:autoSpaceDN w:val="0"/>
              <w:spacing w:line="440" w:lineRule="exact"/>
              <w:ind w:leftChars="-50" w:left="-120" w:rightChars="-50" w:right="-120"/>
              <w:jc w:val="center"/>
              <w:rPr>
                <w:b/>
                <w:sz w:val="21"/>
                <w:szCs w:val="21"/>
              </w:rPr>
            </w:pPr>
            <w:r w:rsidRPr="00340340">
              <w:rPr>
                <w:rFonts w:hint="eastAsia"/>
                <w:b/>
                <w:sz w:val="21"/>
                <w:szCs w:val="21"/>
              </w:rPr>
              <w:t>2018售</w:t>
            </w:r>
          </w:p>
          <w:p w:rsidR="0073530F" w:rsidRPr="00340340" w:rsidRDefault="0073530F" w:rsidP="0011507C">
            <w:pPr>
              <w:autoSpaceDN w:val="0"/>
              <w:spacing w:line="440" w:lineRule="exact"/>
              <w:ind w:leftChars="-50" w:left="-120" w:rightChars="-50" w:right="-120"/>
              <w:jc w:val="center"/>
              <w:rPr>
                <w:b/>
                <w:sz w:val="21"/>
                <w:szCs w:val="21"/>
              </w:rPr>
            </w:pPr>
            <w:r w:rsidRPr="00340340">
              <w:rPr>
                <w:rFonts w:hint="eastAsia"/>
                <w:b/>
                <w:sz w:val="21"/>
                <w:szCs w:val="21"/>
              </w:rPr>
              <w:t>（含税万元）</w:t>
            </w:r>
          </w:p>
        </w:tc>
        <w:tc>
          <w:tcPr>
            <w:tcW w:w="851" w:type="dxa"/>
            <w:vAlign w:val="center"/>
          </w:tcPr>
          <w:p w:rsidR="0073530F" w:rsidRPr="00340340" w:rsidRDefault="0073530F" w:rsidP="0011507C">
            <w:pPr>
              <w:autoSpaceDN w:val="0"/>
              <w:spacing w:line="440" w:lineRule="exact"/>
              <w:jc w:val="center"/>
              <w:rPr>
                <w:b/>
                <w:sz w:val="21"/>
                <w:szCs w:val="21"/>
              </w:rPr>
            </w:pPr>
            <w:r w:rsidRPr="00340340">
              <w:rPr>
                <w:rFonts w:hint="eastAsia"/>
                <w:b/>
                <w:sz w:val="21"/>
                <w:szCs w:val="21"/>
              </w:rPr>
              <w:t>销售增长率%</w:t>
            </w:r>
          </w:p>
        </w:tc>
        <w:tc>
          <w:tcPr>
            <w:tcW w:w="763" w:type="dxa"/>
            <w:vAlign w:val="center"/>
          </w:tcPr>
          <w:p w:rsidR="0073530F" w:rsidRPr="00340340" w:rsidRDefault="0073530F" w:rsidP="0011507C">
            <w:pPr>
              <w:autoSpaceDN w:val="0"/>
              <w:spacing w:line="440" w:lineRule="exact"/>
              <w:jc w:val="center"/>
              <w:rPr>
                <w:b/>
                <w:sz w:val="21"/>
                <w:szCs w:val="21"/>
              </w:rPr>
            </w:pPr>
            <w:r w:rsidRPr="00340340">
              <w:rPr>
                <w:rFonts w:hint="eastAsia"/>
                <w:b/>
                <w:sz w:val="21"/>
                <w:szCs w:val="21"/>
              </w:rPr>
              <w:t>2018店总数（个）</w:t>
            </w:r>
          </w:p>
        </w:tc>
        <w:tc>
          <w:tcPr>
            <w:tcW w:w="926" w:type="dxa"/>
            <w:vAlign w:val="center"/>
          </w:tcPr>
          <w:p w:rsidR="0073530F" w:rsidRPr="00340340" w:rsidRDefault="0073530F" w:rsidP="0011507C">
            <w:pPr>
              <w:autoSpaceDN w:val="0"/>
              <w:spacing w:line="440" w:lineRule="exact"/>
              <w:jc w:val="center"/>
              <w:rPr>
                <w:b/>
                <w:sz w:val="21"/>
                <w:szCs w:val="21"/>
              </w:rPr>
            </w:pPr>
            <w:r w:rsidRPr="00340340">
              <w:rPr>
                <w:rFonts w:hint="eastAsia"/>
                <w:b/>
                <w:sz w:val="21"/>
                <w:szCs w:val="21"/>
              </w:rPr>
              <w:t>门店增长率%</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苏宁云商集团股份有限公司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33675700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38.4%</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11064</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183.3%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w:t>
            </w:r>
          </w:p>
        </w:tc>
        <w:tc>
          <w:tcPr>
            <w:tcW w:w="3969" w:type="dxa"/>
          </w:tcPr>
          <w:p w:rsidR="0073530F" w:rsidRPr="00340340" w:rsidRDefault="0073530F" w:rsidP="00122B04">
            <w:pPr>
              <w:autoSpaceDN w:val="0"/>
              <w:spacing w:line="440" w:lineRule="exact"/>
              <w:rPr>
                <w:sz w:val="21"/>
                <w:szCs w:val="21"/>
              </w:rPr>
            </w:pPr>
            <w:r w:rsidRPr="00340340">
              <w:rPr>
                <w:rFonts w:hint="eastAsia"/>
                <w:sz w:val="21"/>
                <w:szCs w:val="21"/>
              </w:rPr>
              <w:t>国美</w:t>
            </w:r>
            <w:r w:rsidR="00122B04" w:rsidRPr="00340340">
              <w:rPr>
                <w:rFonts w:hint="eastAsia"/>
                <w:sz w:val="21"/>
                <w:szCs w:val="21"/>
              </w:rPr>
              <w:t>零售控股有限公司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13818365</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-10.1%</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2122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32.3%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华润万家有限公司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10125379</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3192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0.9</w:t>
            </w:r>
            <w:r w:rsidR="00122B04" w:rsidRPr="00340340">
              <w:rPr>
                <w:rFonts w:hint="eastAsia"/>
                <w:sz w:val="21"/>
                <w:szCs w:val="21"/>
              </w:rPr>
              <w:t>%</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康成投资（中国）有限公司（大润发）</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959000</w:t>
            </w:r>
            <w:r w:rsidR="00122B04" w:rsidRPr="00340340">
              <w:rPr>
                <w:rFonts w:hint="eastAsia"/>
                <w:sz w:val="21"/>
                <w:szCs w:val="21"/>
              </w:rPr>
              <w:t>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0.5%</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407</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6.3%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沃尔玛（中国）投资有限公司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8048950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0.3%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441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永辉超市股份有限公司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7676773</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17.4%</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1275</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58.2%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7</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北京居然之家家居新零售连锁集团有限公司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7100000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13.1%</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303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35.9%</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重庆商社（集团）有限公司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6748882</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13.3%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413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-2.4%</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中石化易捷销售有限公司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6200000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19.0%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27259</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5.8%</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10</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联华超市股份有限公司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4922938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3371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11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物美科技集团有限公司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4834371</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1055</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11.8%</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 xml:space="preserve">12 </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家乐福（中国）管理咨询服务有限公司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4746375</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-4.7%</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302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-5.9%</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lastRenderedPageBreak/>
              <w:t>13</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长春欧亚集团股份有限公司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4536925</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6.9%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140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5.3%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14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步步高集团</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3901253</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5.2%</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686</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6.4%</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15</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武汉武商集团</w:t>
            </w:r>
            <w:r w:rsidR="00F94B3C" w:rsidRPr="00340340">
              <w:rPr>
                <w:rFonts w:hint="eastAsia"/>
                <w:sz w:val="21"/>
                <w:szCs w:val="21"/>
              </w:rPr>
              <w:t>股份</w:t>
            </w:r>
            <w:r w:rsidRPr="00340340">
              <w:rPr>
                <w:rFonts w:hint="eastAsia"/>
                <w:sz w:val="21"/>
                <w:szCs w:val="21"/>
              </w:rPr>
              <w:t>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3830546</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2.1%</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88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16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银座集团</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3744251</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5.1%</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377</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17</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王府井集团股份有限公司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3404203</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53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-5.4%</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18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中百控股集团股份有限公司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3324353</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0.1%</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1255</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11.1%</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19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石家庄北国人百集团有限公司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3054528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69</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20</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银泰商业（集团）有限公司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2990907</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30.5%</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63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23.5%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大商股份有限公司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2792470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-10.8%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144</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22</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天虹商场股份有限公司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2767135</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4.5%</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250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11.6%</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23</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利群集团股份有限公司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2653669</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6.9%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533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9.9%</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家家悦控股集团股份有限公司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2592670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7.9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738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8.4%</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25</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烟台振华商业集团</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2512229</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151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16.2%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红星美凯龙控股集团有限公司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2481753</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23.8%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325</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22.6%</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27</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中国石油销售公司（昆仑好客）</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2450000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28.9%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19700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郑州丹尼斯百货有限公司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2383801</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9.0%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450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4.7%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29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金鹰国际商贸集团（中国）有限公司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2353474</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13.6%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30</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屈臣氏中国</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2341500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10.3%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3608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10.3%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锦江麦德龙现购自运有限公司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2130000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94</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32</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文峰大世界连锁发展股份有限公司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1939602</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-5.6%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587</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-22.0%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33</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江苏五星电器有限公司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1915000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6.4%</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607</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25.9%</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lastRenderedPageBreak/>
              <w:t>34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山东潍坊百货集团股份有限公司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1893000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4.7%</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670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35</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茂业国际控股有限公司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1847168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5.6%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57</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宜家（中国）投资有限公司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1836007</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26</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8.3%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37</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世纪华联超市连锁（江苏）有限公司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1798001</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15.0%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4269</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7.2%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北京迪信通商贸股份</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1764172</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-5.8%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1639</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-5.2%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39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东莞市糖酒集团美宜佳便利店有限公司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1680912</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37.3%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15559</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33.5%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40</w:t>
            </w:r>
          </w:p>
        </w:tc>
        <w:tc>
          <w:tcPr>
            <w:tcW w:w="3969" w:type="dxa"/>
          </w:tcPr>
          <w:p w:rsidR="0073530F" w:rsidRPr="00340340" w:rsidRDefault="0073530F" w:rsidP="0099384B">
            <w:pPr>
              <w:autoSpaceDN w:val="0"/>
              <w:spacing w:line="440" w:lineRule="exact"/>
              <w:rPr>
                <w:sz w:val="21"/>
                <w:szCs w:val="21"/>
              </w:rPr>
            </w:pPr>
            <w:r w:rsidRPr="00340340">
              <w:rPr>
                <w:rFonts w:hint="eastAsia"/>
                <w:sz w:val="21"/>
                <w:szCs w:val="21"/>
              </w:rPr>
              <w:t>新华都购物广场股份</w:t>
            </w:r>
            <w:r w:rsidR="0099384B" w:rsidRPr="00340340">
              <w:rPr>
                <w:rFonts w:hint="eastAsia"/>
                <w:sz w:val="21"/>
                <w:szCs w:val="21"/>
              </w:rPr>
              <w:t>有限</w:t>
            </w:r>
            <w:r w:rsidRPr="00340340">
              <w:rPr>
                <w:rFonts w:hint="eastAsia"/>
                <w:sz w:val="21"/>
                <w:szCs w:val="21"/>
              </w:rPr>
              <w:t>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1557935</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1.2%</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143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-1.4%</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供销大集集团股份有限公司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1534346</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-46.6%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235</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-11.7%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42</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百盛商业集团有限公司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1519461</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46</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-2.1%</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43</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永旺（中国）投资有限公司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1493246</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6.0%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104</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14.3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合肥百货大楼集团股份有限公司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1487300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-6.5%</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255</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11.8%</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45</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武汉中商集团股份有限公司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1423263</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0.1%</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61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22.0%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北京京客隆商业集团股份有限公司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1414484</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-0.4%</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206</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-4.2%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47</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上海河马网络科技有限公司（河马鲜生）</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1400000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300.0%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149</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396.7%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卜蜂莲花</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1373452</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7.9%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116</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19.6%</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49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北京华联综合超市股份有限公司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1356654</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-1.5%</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160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2.6%</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50</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江苏华地国际控股集团有限公司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1353280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89</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12.7%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成都红旗连锁股份有限公司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1305192</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2817</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52</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新世界百货中国有限公司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1230494</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-0.3%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34</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-10.5%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53</w:t>
            </w:r>
          </w:p>
        </w:tc>
        <w:tc>
          <w:tcPr>
            <w:tcW w:w="3969" w:type="dxa"/>
          </w:tcPr>
          <w:p w:rsidR="0073530F" w:rsidRPr="00340340" w:rsidRDefault="0073530F" w:rsidP="0099384B">
            <w:pPr>
              <w:autoSpaceDN w:val="0"/>
              <w:spacing w:line="440" w:lineRule="exact"/>
              <w:rPr>
                <w:sz w:val="21"/>
                <w:szCs w:val="21"/>
              </w:rPr>
            </w:pPr>
            <w:r w:rsidRPr="00340340">
              <w:rPr>
                <w:rFonts w:hint="eastAsia"/>
                <w:sz w:val="21"/>
                <w:szCs w:val="21"/>
              </w:rPr>
              <w:t>北京乐语</w:t>
            </w:r>
            <w:r w:rsidR="0099384B" w:rsidRPr="00340340">
              <w:rPr>
                <w:rFonts w:hint="eastAsia"/>
                <w:sz w:val="21"/>
                <w:szCs w:val="21"/>
              </w:rPr>
              <w:t>世纪</w:t>
            </w:r>
            <w:r w:rsidRPr="00340340">
              <w:rPr>
                <w:rFonts w:hint="eastAsia"/>
                <w:sz w:val="21"/>
                <w:szCs w:val="21"/>
              </w:rPr>
              <w:t>科技集团有限公司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1205408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-25.6%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1322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-34.9%</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信誉楼百货集团有限公司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1190465</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17.3%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13.8%</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lastRenderedPageBreak/>
              <w:t>55</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北京首商集团股份有限公司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1178349</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-1.4%</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16</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-5.9%</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广州市广百股份有限公司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1133483</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9.6%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57</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迪卡侬中国</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1083500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295</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15.7%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孩子王儿童用品股份有限公司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1054001</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47.2%</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270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25.6%</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59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大参林医药集团股份有限公司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1027000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18.3%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3880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23.3%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60</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上海福满家便利有限公司（全家）</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949077</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18.3%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2571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17.9%</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济南华联商厦集团股份有限公司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929378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106</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20.5%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62</w:t>
            </w:r>
          </w:p>
        </w:tc>
        <w:tc>
          <w:tcPr>
            <w:tcW w:w="3969" w:type="dxa"/>
          </w:tcPr>
          <w:p w:rsidR="0073530F" w:rsidRPr="00340340" w:rsidRDefault="0073530F" w:rsidP="0099384B">
            <w:pPr>
              <w:autoSpaceDN w:val="0"/>
              <w:spacing w:line="440" w:lineRule="exact"/>
              <w:rPr>
                <w:sz w:val="21"/>
                <w:szCs w:val="21"/>
              </w:rPr>
            </w:pPr>
            <w:r w:rsidRPr="00340340">
              <w:rPr>
                <w:rFonts w:hint="eastAsia"/>
                <w:sz w:val="21"/>
                <w:szCs w:val="21"/>
              </w:rPr>
              <w:t>深圳百果园</w:t>
            </w:r>
            <w:r w:rsidR="0099384B" w:rsidRPr="00340340">
              <w:rPr>
                <w:rFonts w:hint="eastAsia"/>
                <w:sz w:val="21"/>
                <w:szCs w:val="21"/>
              </w:rPr>
              <w:t>实业</w:t>
            </w:r>
            <w:r w:rsidRPr="00340340">
              <w:rPr>
                <w:rFonts w:hint="eastAsia"/>
                <w:sz w:val="21"/>
                <w:szCs w:val="21"/>
              </w:rPr>
              <w:t>发展有限公司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903266</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33.1%</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3497</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32.2%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63</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北京菜市口百货股份有限公司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849359</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8.5%</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35</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29.6%</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人人乐连锁商业集团股份有限公司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812527</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-8.2%</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138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10.4%</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65</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山西美特好连锁超市股份有限公司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809457</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160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44.1%</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山东全福元商业集团</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802190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9.2%</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241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8.1%</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67</w:t>
            </w:r>
          </w:p>
        </w:tc>
        <w:tc>
          <w:tcPr>
            <w:tcW w:w="3969" w:type="dxa"/>
          </w:tcPr>
          <w:p w:rsidR="0099384B" w:rsidRPr="00340340" w:rsidRDefault="0073530F" w:rsidP="0011507C">
            <w:pPr>
              <w:autoSpaceDN w:val="0"/>
              <w:spacing w:line="440" w:lineRule="exact"/>
              <w:rPr>
                <w:w w:val="90"/>
                <w:sz w:val="21"/>
                <w:szCs w:val="21"/>
              </w:rPr>
            </w:pPr>
            <w:r w:rsidRPr="00340340">
              <w:rPr>
                <w:rFonts w:hint="eastAsia"/>
                <w:w w:val="90"/>
                <w:sz w:val="21"/>
                <w:szCs w:val="21"/>
              </w:rPr>
              <w:t>南京中央广场（集团）股份有限公司</w:t>
            </w:r>
            <w:r w:rsidR="0099384B" w:rsidRPr="00340340">
              <w:rPr>
                <w:rFonts w:hint="eastAsia"/>
                <w:w w:val="90"/>
                <w:sz w:val="21"/>
                <w:szCs w:val="21"/>
              </w:rPr>
              <w:t>（百货零售部分</w:t>
            </w:r>
            <w:r w:rsidR="006928F3" w:rsidRPr="00340340">
              <w:rPr>
                <w:rFonts w:hint="eastAsia"/>
                <w:w w:val="90"/>
                <w:sz w:val="21"/>
                <w:szCs w:val="21"/>
              </w:rPr>
              <w:t>）</w:t>
            </w:r>
          </w:p>
          <w:p w:rsidR="0099384B" w:rsidRPr="00340340" w:rsidRDefault="0099384B" w:rsidP="0011507C">
            <w:pPr>
              <w:autoSpaceDN w:val="0"/>
              <w:spacing w:line="440" w:lineRule="exact"/>
              <w:rPr>
                <w:sz w:val="21"/>
                <w:szCs w:val="21"/>
              </w:rPr>
            </w:pPr>
          </w:p>
          <w:p w:rsidR="0073530F" w:rsidRPr="00340340" w:rsidRDefault="0099384B" w:rsidP="0011507C">
            <w:pPr>
              <w:autoSpaceDN w:val="0"/>
              <w:spacing w:line="440" w:lineRule="exact"/>
              <w:rPr>
                <w:sz w:val="21"/>
                <w:szCs w:val="21"/>
              </w:rPr>
            </w:pPr>
            <w:r w:rsidRPr="00340340">
              <w:rPr>
                <w:rFonts w:hint="eastAsia"/>
                <w:sz w:val="21"/>
                <w:szCs w:val="21"/>
              </w:rPr>
              <w:t>部分部分）</w:t>
            </w:r>
          </w:p>
          <w:p w:rsidR="0073530F" w:rsidRPr="00340340" w:rsidRDefault="0073530F" w:rsidP="0011507C">
            <w:pPr>
              <w:autoSpaceDN w:val="0"/>
              <w:spacing w:line="440" w:lineRule="exact"/>
              <w:rPr>
                <w:sz w:val="21"/>
                <w:szCs w:val="21"/>
              </w:rPr>
            </w:pPr>
            <w:r w:rsidRPr="00340340">
              <w:rPr>
                <w:rFonts w:hint="eastAsia"/>
                <w:sz w:val="21"/>
                <w:szCs w:val="21"/>
              </w:rPr>
              <w:t>（百货零售部分）</w:t>
            </w:r>
          </w:p>
        </w:tc>
        <w:tc>
          <w:tcPr>
            <w:tcW w:w="1275" w:type="dxa"/>
            <w:vAlign w:val="center"/>
          </w:tcPr>
          <w:p w:rsidR="0073530F" w:rsidRPr="00340340" w:rsidRDefault="0073530F" w:rsidP="0011507C">
            <w:pPr>
              <w:autoSpaceDN w:val="0"/>
              <w:spacing w:line="440" w:lineRule="exact"/>
              <w:jc w:val="right"/>
              <w:rPr>
                <w:sz w:val="21"/>
                <w:szCs w:val="21"/>
              </w:rPr>
            </w:pPr>
            <w:r w:rsidRPr="00340340">
              <w:rPr>
                <w:rFonts w:hint="eastAsia"/>
                <w:sz w:val="21"/>
                <w:szCs w:val="21"/>
              </w:rPr>
              <w:t>769400</w:t>
            </w:r>
          </w:p>
        </w:tc>
        <w:tc>
          <w:tcPr>
            <w:tcW w:w="851" w:type="dxa"/>
            <w:vAlign w:val="center"/>
          </w:tcPr>
          <w:p w:rsidR="0073530F" w:rsidRPr="00340340" w:rsidRDefault="0073530F" w:rsidP="0011507C">
            <w:pPr>
              <w:autoSpaceDN w:val="0"/>
              <w:spacing w:line="440" w:lineRule="exact"/>
              <w:jc w:val="right"/>
              <w:rPr>
                <w:sz w:val="21"/>
                <w:szCs w:val="21"/>
              </w:rPr>
            </w:pPr>
            <w:r w:rsidRPr="00340340">
              <w:rPr>
                <w:rFonts w:hint="eastAsia"/>
                <w:sz w:val="21"/>
                <w:szCs w:val="21"/>
              </w:rPr>
              <w:t>6.4%</w:t>
            </w:r>
          </w:p>
        </w:tc>
        <w:tc>
          <w:tcPr>
            <w:tcW w:w="763" w:type="dxa"/>
            <w:vAlign w:val="center"/>
          </w:tcPr>
          <w:p w:rsidR="0073530F" w:rsidRPr="00340340" w:rsidRDefault="0073530F" w:rsidP="0011507C">
            <w:pPr>
              <w:autoSpaceDN w:val="0"/>
              <w:spacing w:line="440" w:lineRule="exact"/>
              <w:jc w:val="right"/>
              <w:rPr>
                <w:sz w:val="21"/>
                <w:szCs w:val="21"/>
              </w:rPr>
            </w:pPr>
            <w:r w:rsidRPr="00340340">
              <w:rPr>
                <w:rFonts w:hint="eastAsia"/>
                <w:sz w:val="21"/>
                <w:szCs w:val="21"/>
              </w:rPr>
              <w:t>14</w:t>
            </w:r>
          </w:p>
        </w:tc>
        <w:tc>
          <w:tcPr>
            <w:tcW w:w="926" w:type="dxa"/>
            <w:vAlign w:val="center"/>
          </w:tcPr>
          <w:p w:rsidR="0073530F" w:rsidRPr="00340340" w:rsidRDefault="0073530F" w:rsidP="0011507C">
            <w:pPr>
              <w:autoSpaceDN w:val="0"/>
              <w:spacing w:line="440" w:lineRule="exact"/>
              <w:jc w:val="right"/>
              <w:rPr>
                <w:sz w:val="21"/>
                <w:szCs w:val="21"/>
              </w:rPr>
            </w:pPr>
            <w:r w:rsidRPr="00340340">
              <w:rPr>
                <w:rFonts w:hint="eastAsia"/>
                <w:sz w:val="21"/>
                <w:szCs w:val="21"/>
              </w:rPr>
              <w:t>0.0%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山东新星集团有限公司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749366</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-0.8%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528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69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湖南友谊阿波罗商业股份有限公司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732930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0.6%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17</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6.3%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70</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河北叁陆伍网络科技集团有限公司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717598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19.6%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1900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8.8</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71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阜阳华联集团股份有限公司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705488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5.8%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785</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72</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青岛利客来集团股份有限公司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702972</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6.3%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50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8.7%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73</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杭州解百集团股份有限公司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691335</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2.2%</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-25.0%</w:t>
            </w:r>
          </w:p>
        </w:tc>
      </w:tr>
      <w:tr w:rsidR="0073530F" w:rsidRPr="00340340" w:rsidTr="00041A30">
        <w:trPr>
          <w:trHeight w:hRule="exact" w:val="567"/>
        </w:trPr>
        <w:tc>
          <w:tcPr>
            <w:tcW w:w="534" w:type="dxa"/>
            <w:vAlign w:val="center"/>
          </w:tcPr>
          <w:p w:rsidR="0073530F" w:rsidRPr="00340340" w:rsidRDefault="0073530F" w:rsidP="0011507C">
            <w:pPr>
              <w:autoSpaceDN w:val="0"/>
              <w:spacing w:line="440" w:lineRule="exact"/>
              <w:jc w:val="center"/>
              <w:rPr>
                <w:sz w:val="21"/>
                <w:szCs w:val="21"/>
              </w:rPr>
            </w:pPr>
            <w:r w:rsidRPr="00340340">
              <w:rPr>
                <w:rFonts w:hint="eastAsia"/>
                <w:sz w:val="21"/>
                <w:szCs w:val="21"/>
              </w:rPr>
              <w:t>74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新疆友好（集团）股份有限公司（商业部分）</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659604</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-4.1%</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-6.1%</w:t>
            </w:r>
          </w:p>
        </w:tc>
      </w:tr>
      <w:tr w:rsidR="0073530F" w:rsidRPr="00340340" w:rsidTr="00041A30">
        <w:trPr>
          <w:trHeight w:hRule="exact" w:val="567"/>
        </w:trPr>
        <w:tc>
          <w:tcPr>
            <w:tcW w:w="534" w:type="dxa"/>
            <w:vAlign w:val="center"/>
          </w:tcPr>
          <w:p w:rsidR="0073530F" w:rsidRPr="00340340" w:rsidRDefault="0073530F" w:rsidP="0011507C">
            <w:pPr>
              <w:autoSpaceDN w:val="0"/>
              <w:spacing w:line="440" w:lineRule="exact"/>
              <w:jc w:val="center"/>
              <w:rPr>
                <w:sz w:val="21"/>
                <w:szCs w:val="21"/>
              </w:rPr>
            </w:pPr>
            <w:r w:rsidRPr="00340340">
              <w:rPr>
                <w:rFonts w:hint="eastAsia"/>
                <w:sz w:val="21"/>
                <w:szCs w:val="21"/>
              </w:rPr>
              <w:t>75</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广州尚品宅配家居股份有限公司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654438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9.7%</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2201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34.0%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lastRenderedPageBreak/>
              <w:t>76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广东嘉荣超市有限公司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646402</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4.6%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121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12.0%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77</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青岛维客集团股份有限公司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615832</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78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湖南佳惠百货有限责任公司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612069</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15%</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102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3.0%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79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柒-拾壹（中国）投资有限公司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584731</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25.3%</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1806</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12.0%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80</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邯郸市阳光百货集团总公司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562876</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5.0%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174</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-2.8%</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雄风集团有限公司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560628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2.5%</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102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82</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北京华冠商业科技发展有限公司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553597</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-13.5%</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81</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9.5%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83</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成都伊藤洋华堂有限公司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552977</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8.0%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14.3%</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浙江人本超市有限公司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522116</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2138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5.8%</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85</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河南大张事业有限公司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516700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36.8%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70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16.7%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北京超市发连锁股份有限公司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515236</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7.7%</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164</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13.1%</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87</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北京翠微大厦股份有限公司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500730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-1.4%</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14</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江苏新合作常客隆连锁超市有限公司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475265</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3.7%</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1009</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89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山西</w:t>
            </w:r>
            <w:r w:rsidR="00F720B1" w:rsidRPr="00340340">
              <w:rPr>
                <w:rFonts w:hint="eastAsia"/>
                <w:sz w:val="21"/>
                <w:szCs w:val="21"/>
              </w:rPr>
              <w:t>省</w:t>
            </w:r>
            <w:r w:rsidRPr="00340340">
              <w:rPr>
                <w:rFonts w:hint="eastAsia"/>
                <w:sz w:val="21"/>
                <w:szCs w:val="21"/>
              </w:rPr>
              <w:t>太原唐久超市有限公司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455424</w:t>
            </w:r>
          </w:p>
        </w:tc>
        <w:tc>
          <w:tcPr>
            <w:tcW w:w="851" w:type="dxa"/>
          </w:tcPr>
          <w:p w:rsidR="0073530F" w:rsidRPr="00340340" w:rsidRDefault="00F720B1" w:rsidP="0011507C">
            <w:pPr>
              <w:autoSpaceDN w:val="0"/>
              <w:spacing w:line="440" w:lineRule="exact"/>
              <w:jc w:val="right"/>
              <w:rPr>
                <w:sz w:val="21"/>
                <w:szCs w:val="21"/>
              </w:rPr>
            </w:pPr>
            <w:r w:rsidRPr="00340340">
              <w:rPr>
                <w:rFonts w:hint="eastAsia"/>
                <w:sz w:val="21"/>
                <w:szCs w:val="21"/>
              </w:rPr>
              <w:t>6.0</w:t>
            </w:r>
            <w:r w:rsidR="0073530F" w:rsidRPr="00340340">
              <w:rPr>
                <w:rFonts w:hint="eastAsia"/>
                <w:sz w:val="21"/>
                <w:szCs w:val="21"/>
              </w:rPr>
              <w:t>%</w:t>
            </w:r>
          </w:p>
        </w:tc>
        <w:tc>
          <w:tcPr>
            <w:tcW w:w="763" w:type="dxa"/>
          </w:tcPr>
          <w:p w:rsidR="0073530F" w:rsidRPr="00340340" w:rsidRDefault="00F720B1" w:rsidP="0011507C">
            <w:pPr>
              <w:autoSpaceDN w:val="0"/>
              <w:spacing w:line="440" w:lineRule="exact"/>
              <w:jc w:val="right"/>
              <w:rPr>
                <w:sz w:val="21"/>
                <w:szCs w:val="21"/>
              </w:rPr>
            </w:pPr>
            <w:r w:rsidRPr="00340340">
              <w:rPr>
                <w:rFonts w:hint="eastAsia"/>
                <w:sz w:val="21"/>
                <w:szCs w:val="21"/>
              </w:rPr>
              <w:t>1500</w:t>
            </w:r>
          </w:p>
        </w:tc>
        <w:tc>
          <w:tcPr>
            <w:tcW w:w="926" w:type="dxa"/>
          </w:tcPr>
          <w:p w:rsidR="0073530F" w:rsidRPr="00340340" w:rsidRDefault="00F720B1" w:rsidP="0011507C">
            <w:pPr>
              <w:autoSpaceDN w:val="0"/>
              <w:spacing w:line="440" w:lineRule="exact"/>
              <w:jc w:val="right"/>
              <w:rPr>
                <w:sz w:val="21"/>
                <w:szCs w:val="21"/>
              </w:rPr>
            </w:pPr>
            <w:r w:rsidRPr="00340340">
              <w:rPr>
                <w:rFonts w:hint="eastAsia"/>
                <w:sz w:val="21"/>
                <w:szCs w:val="21"/>
              </w:rPr>
              <w:t>4.5</w:t>
            </w:r>
            <w:r w:rsidR="0073530F" w:rsidRPr="00340340">
              <w:rPr>
                <w:rFonts w:hint="eastAsia"/>
                <w:sz w:val="21"/>
                <w:szCs w:val="21"/>
              </w:rPr>
              <w:t>%</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90</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长沙通程控股股份有限公司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455040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-3.1%</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82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1.2%</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91</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三江购物俱乐部股份有限公司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441878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8.0%</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202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19.5%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92</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湖北黄商集团股份有限公司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440323</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16.4%</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117</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4.5%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93</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十堰市新合作超市有限公司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438179</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1.2%</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380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4.7%</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94</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罗森（中国）投资股份有限公司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429103</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38%</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1973</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41.0%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95</w:t>
            </w:r>
          </w:p>
        </w:tc>
        <w:tc>
          <w:tcPr>
            <w:tcW w:w="3969" w:type="dxa"/>
          </w:tcPr>
          <w:p w:rsidR="0073530F" w:rsidRPr="00340340" w:rsidRDefault="0073530F" w:rsidP="00F720B1">
            <w:pPr>
              <w:autoSpaceDN w:val="0"/>
              <w:spacing w:line="440" w:lineRule="exact"/>
              <w:rPr>
                <w:sz w:val="21"/>
                <w:szCs w:val="21"/>
              </w:rPr>
            </w:pPr>
            <w:r w:rsidRPr="00340340">
              <w:rPr>
                <w:rFonts w:hint="eastAsia"/>
                <w:sz w:val="21"/>
                <w:szCs w:val="21"/>
              </w:rPr>
              <w:t>新疆</w:t>
            </w:r>
            <w:r w:rsidR="00F720B1" w:rsidRPr="00340340">
              <w:rPr>
                <w:rFonts w:hint="eastAsia"/>
                <w:sz w:val="21"/>
                <w:szCs w:val="21"/>
              </w:rPr>
              <w:t>汇</w:t>
            </w:r>
            <w:r w:rsidRPr="00340340">
              <w:rPr>
                <w:rFonts w:hint="eastAsia"/>
                <w:sz w:val="21"/>
                <w:szCs w:val="21"/>
              </w:rPr>
              <w:t>嘉时代百货股份有限公司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424059</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19.7%</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22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144.4%</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96</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安徽商之都股份有限公司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419178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-16.6%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88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6.0%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lastRenderedPageBreak/>
              <w:t>97</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河北惠友商业连锁发展有限公司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394868</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12.6%</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74</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98</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甘肃国芳工贸（集团）股份有限公司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342487</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0.9%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12</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0.0%</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r w:rsidRPr="00340340">
              <w:rPr>
                <w:rFonts w:hint="eastAsia"/>
                <w:sz w:val="21"/>
                <w:szCs w:val="21"/>
              </w:rPr>
              <w:t>99</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云南健之佳健康连锁店股份有限公司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330000</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17.9%</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1530</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16.3%</w:t>
            </w:r>
          </w:p>
        </w:tc>
      </w:tr>
      <w:tr w:rsidR="0073530F" w:rsidRPr="00340340" w:rsidTr="00041A30">
        <w:trPr>
          <w:trHeight w:hRule="exact" w:val="567"/>
        </w:trPr>
        <w:tc>
          <w:tcPr>
            <w:tcW w:w="534" w:type="dxa"/>
          </w:tcPr>
          <w:p w:rsidR="0073530F" w:rsidRPr="00340340" w:rsidRDefault="0073530F" w:rsidP="0011507C">
            <w:pPr>
              <w:autoSpaceDN w:val="0"/>
              <w:spacing w:line="440" w:lineRule="exact"/>
              <w:ind w:leftChars="-50" w:left="-120" w:rightChars="-50" w:right="-120"/>
              <w:jc w:val="center"/>
              <w:rPr>
                <w:sz w:val="21"/>
                <w:szCs w:val="21"/>
              </w:rPr>
            </w:pPr>
            <w:r w:rsidRPr="00340340">
              <w:rPr>
                <w:rFonts w:hint="eastAsia"/>
                <w:sz w:val="21"/>
                <w:szCs w:val="21"/>
              </w:rPr>
              <w:t>100</w:t>
            </w:r>
          </w:p>
        </w:tc>
        <w:tc>
          <w:tcPr>
            <w:tcW w:w="3969" w:type="dxa"/>
          </w:tcPr>
          <w:p w:rsidR="0073530F" w:rsidRPr="00340340" w:rsidRDefault="0073530F" w:rsidP="0011507C">
            <w:pPr>
              <w:autoSpaceDN w:val="0"/>
              <w:spacing w:line="440" w:lineRule="exact"/>
              <w:rPr>
                <w:sz w:val="21"/>
                <w:szCs w:val="21"/>
              </w:rPr>
            </w:pPr>
            <w:r w:rsidRPr="00340340">
              <w:rPr>
                <w:rFonts w:hint="eastAsia"/>
                <w:sz w:val="21"/>
                <w:szCs w:val="21"/>
              </w:rPr>
              <w:t>话机世界通信集团股份有限公司</w:t>
            </w:r>
          </w:p>
        </w:tc>
        <w:tc>
          <w:tcPr>
            <w:tcW w:w="1275" w:type="dxa"/>
          </w:tcPr>
          <w:p w:rsidR="0073530F" w:rsidRPr="00340340" w:rsidRDefault="0073530F" w:rsidP="0011507C">
            <w:pPr>
              <w:autoSpaceDN w:val="0"/>
              <w:spacing w:line="440" w:lineRule="exact"/>
              <w:jc w:val="right"/>
              <w:rPr>
                <w:sz w:val="21"/>
                <w:szCs w:val="21"/>
              </w:rPr>
            </w:pPr>
            <w:r w:rsidRPr="00340340">
              <w:rPr>
                <w:rFonts w:hint="eastAsia"/>
                <w:sz w:val="21"/>
                <w:szCs w:val="21"/>
              </w:rPr>
              <w:t>326051</w:t>
            </w:r>
          </w:p>
        </w:tc>
        <w:tc>
          <w:tcPr>
            <w:tcW w:w="851" w:type="dxa"/>
          </w:tcPr>
          <w:p w:rsidR="0073530F" w:rsidRPr="00340340" w:rsidRDefault="0073530F" w:rsidP="0011507C">
            <w:pPr>
              <w:autoSpaceDN w:val="0"/>
              <w:spacing w:line="440" w:lineRule="exact"/>
              <w:jc w:val="right"/>
              <w:rPr>
                <w:sz w:val="21"/>
                <w:szCs w:val="21"/>
              </w:rPr>
            </w:pPr>
            <w:r w:rsidRPr="00340340">
              <w:rPr>
                <w:rFonts w:hint="eastAsia"/>
                <w:sz w:val="21"/>
                <w:szCs w:val="21"/>
              </w:rPr>
              <w:t>8.4%</w:t>
            </w:r>
          </w:p>
        </w:tc>
        <w:tc>
          <w:tcPr>
            <w:tcW w:w="763" w:type="dxa"/>
          </w:tcPr>
          <w:p w:rsidR="0073530F" w:rsidRPr="00340340" w:rsidRDefault="0073530F" w:rsidP="0011507C">
            <w:pPr>
              <w:autoSpaceDN w:val="0"/>
              <w:spacing w:line="440" w:lineRule="exact"/>
              <w:jc w:val="right"/>
              <w:rPr>
                <w:sz w:val="21"/>
                <w:szCs w:val="21"/>
              </w:rPr>
            </w:pPr>
            <w:r w:rsidRPr="00340340">
              <w:rPr>
                <w:rFonts w:hint="eastAsia"/>
                <w:sz w:val="21"/>
                <w:szCs w:val="21"/>
              </w:rPr>
              <w:t>588</w:t>
            </w:r>
          </w:p>
        </w:tc>
        <w:tc>
          <w:tcPr>
            <w:tcW w:w="926" w:type="dxa"/>
          </w:tcPr>
          <w:p w:rsidR="0073530F" w:rsidRPr="00340340" w:rsidRDefault="0073530F" w:rsidP="0011507C">
            <w:pPr>
              <w:autoSpaceDN w:val="0"/>
              <w:spacing w:line="440" w:lineRule="exact"/>
              <w:jc w:val="right"/>
              <w:rPr>
                <w:sz w:val="21"/>
                <w:szCs w:val="21"/>
              </w:rPr>
            </w:pPr>
            <w:r w:rsidRPr="00340340">
              <w:rPr>
                <w:rFonts w:hint="eastAsia"/>
                <w:sz w:val="21"/>
                <w:szCs w:val="21"/>
              </w:rPr>
              <w:t>21.5%</w:t>
            </w:r>
          </w:p>
        </w:tc>
      </w:tr>
      <w:tr w:rsidR="0073530F" w:rsidRPr="00340340" w:rsidTr="00041A30">
        <w:trPr>
          <w:trHeight w:hRule="exact" w:val="567"/>
        </w:trPr>
        <w:tc>
          <w:tcPr>
            <w:tcW w:w="534" w:type="dxa"/>
          </w:tcPr>
          <w:p w:rsidR="0073530F" w:rsidRPr="00340340" w:rsidRDefault="0073530F" w:rsidP="0011507C">
            <w:pPr>
              <w:autoSpaceDN w:val="0"/>
              <w:spacing w:line="440" w:lineRule="exact"/>
              <w:rPr>
                <w:sz w:val="21"/>
                <w:szCs w:val="21"/>
              </w:rPr>
            </w:pPr>
          </w:p>
        </w:tc>
        <w:tc>
          <w:tcPr>
            <w:tcW w:w="3969" w:type="dxa"/>
          </w:tcPr>
          <w:p w:rsidR="0073530F" w:rsidRPr="00340340" w:rsidRDefault="0073530F" w:rsidP="0011507C">
            <w:pPr>
              <w:autoSpaceDN w:val="0"/>
              <w:spacing w:line="440" w:lineRule="exact"/>
              <w:rPr>
                <w:b/>
                <w:sz w:val="21"/>
                <w:szCs w:val="21"/>
              </w:rPr>
            </w:pPr>
            <w:r w:rsidRPr="00340340">
              <w:rPr>
                <w:rFonts w:hint="eastAsia"/>
                <w:b/>
                <w:sz w:val="21"/>
                <w:szCs w:val="21"/>
              </w:rPr>
              <w:t>合计</w:t>
            </w:r>
          </w:p>
        </w:tc>
        <w:tc>
          <w:tcPr>
            <w:tcW w:w="1275" w:type="dxa"/>
          </w:tcPr>
          <w:p w:rsidR="0073530F" w:rsidRPr="00340340" w:rsidRDefault="0073530F" w:rsidP="0011507C">
            <w:pPr>
              <w:autoSpaceDN w:val="0"/>
              <w:spacing w:line="440" w:lineRule="exact"/>
              <w:jc w:val="right"/>
              <w:rPr>
                <w:b/>
                <w:sz w:val="21"/>
                <w:szCs w:val="21"/>
              </w:rPr>
            </w:pPr>
            <w:r w:rsidRPr="00340340">
              <w:rPr>
                <w:rFonts w:hint="eastAsia"/>
                <w:b/>
                <w:sz w:val="21"/>
                <w:szCs w:val="21"/>
              </w:rPr>
              <w:t>239282709</w:t>
            </w:r>
          </w:p>
        </w:tc>
        <w:tc>
          <w:tcPr>
            <w:tcW w:w="851" w:type="dxa"/>
          </w:tcPr>
          <w:p w:rsidR="0073530F" w:rsidRPr="00340340" w:rsidRDefault="0073530F" w:rsidP="0011507C">
            <w:pPr>
              <w:autoSpaceDN w:val="0"/>
              <w:spacing w:line="440" w:lineRule="exact"/>
              <w:jc w:val="right"/>
              <w:rPr>
                <w:b/>
                <w:sz w:val="21"/>
                <w:szCs w:val="21"/>
              </w:rPr>
            </w:pPr>
            <w:r w:rsidRPr="00340340">
              <w:rPr>
                <w:rFonts w:hint="eastAsia"/>
                <w:b/>
                <w:sz w:val="21"/>
                <w:szCs w:val="21"/>
              </w:rPr>
              <w:t>7.7%</w:t>
            </w:r>
          </w:p>
        </w:tc>
        <w:tc>
          <w:tcPr>
            <w:tcW w:w="763" w:type="dxa"/>
          </w:tcPr>
          <w:p w:rsidR="0073530F" w:rsidRPr="00340340" w:rsidRDefault="0073530F" w:rsidP="0011507C">
            <w:pPr>
              <w:autoSpaceDN w:val="0"/>
              <w:spacing w:line="440" w:lineRule="exact"/>
              <w:jc w:val="right"/>
              <w:rPr>
                <w:b/>
                <w:sz w:val="21"/>
                <w:szCs w:val="21"/>
              </w:rPr>
            </w:pPr>
            <w:r w:rsidRPr="00340340">
              <w:rPr>
                <w:rFonts w:hint="eastAsia"/>
                <w:b/>
                <w:sz w:val="21"/>
                <w:szCs w:val="21"/>
              </w:rPr>
              <w:t>138325</w:t>
            </w:r>
          </w:p>
        </w:tc>
        <w:tc>
          <w:tcPr>
            <w:tcW w:w="926" w:type="dxa"/>
          </w:tcPr>
          <w:p w:rsidR="0073530F" w:rsidRPr="00340340" w:rsidRDefault="0073530F" w:rsidP="0011507C">
            <w:pPr>
              <w:autoSpaceDN w:val="0"/>
              <w:spacing w:line="440" w:lineRule="exact"/>
              <w:jc w:val="right"/>
              <w:rPr>
                <w:b/>
                <w:sz w:val="21"/>
                <w:szCs w:val="21"/>
              </w:rPr>
            </w:pPr>
            <w:r w:rsidRPr="00340340">
              <w:rPr>
                <w:rFonts w:hint="eastAsia"/>
                <w:b/>
                <w:sz w:val="21"/>
                <w:szCs w:val="21"/>
              </w:rPr>
              <w:t>16.0%</w:t>
            </w:r>
          </w:p>
        </w:tc>
      </w:tr>
    </w:tbl>
    <w:p w:rsidR="00DD6D5E" w:rsidRPr="00340340" w:rsidRDefault="006D0AF0" w:rsidP="00CC09D6">
      <w:pPr>
        <w:pStyle w:val="a8"/>
        <w:widowControl w:val="0"/>
        <w:shd w:val="clear" w:color="auto" w:fill="FFFFFF"/>
        <w:snapToGrid w:val="0"/>
        <w:spacing w:before="0" w:beforeAutospacing="0" w:after="0" w:afterAutospacing="0" w:line="560" w:lineRule="exact"/>
        <w:rPr>
          <w:rFonts w:ascii="楷体" w:eastAsia="楷体" w:hAnsi="楷体"/>
          <w:sz w:val="28"/>
          <w:szCs w:val="28"/>
        </w:rPr>
      </w:pPr>
      <w:r w:rsidRPr="00340340">
        <w:rPr>
          <w:rFonts w:ascii="楷体" w:eastAsia="楷体" w:hAnsi="楷体" w:hint="eastAsia"/>
          <w:sz w:val="28"/>
          <w:szCs w:val="28"/>
        </w:rPr>
        <w:t xml:space="preserve">                                    </w:t>
      </w:r>
      <w:r w:rsidR="00CC09D6" w:rsidRPr="00340340">
        <w:rPr>
          <w:rFonts w:ascii="楷体" w:eastAsia="楷体" w:hAnsi="楷体" w:hint="eastAsia"/>
          <w:sz w:val="28"/>
          <w:szCs w:val="28"/>
        </w:rPr>
        <w:t xml:space="preserve">     （中国连锁经营</w:t>
      </w:r>
      <w:r w:rsidRPr="00340340">
        <w:rPr>
          <w:rFonts w:ascii="楷体" w:eastAsia="楷体" w:hAnsi="楷体" w:hint="eastAsia"/>
          <w:sz w:val="28"/>
          <w:szCs w:val="28"/>
        </w:rPr>
        <w:t xml:space="preserve">会） </w:t>
      </w:r>
      <w:r w:rsidR="0011507C" w:rsidRPr="00340340">
        <w:rPr>
          <w:rFonts w:ascii="黑体" w:eastAsia="黑体" w:hAnsi="黑体" w:cs="黑体" w:hint="eastAsia"/>
          <w:sz w:val="28"/>
          <w:szCs w:val="28"/>
          <w:shd w:val="pct10" w:color="auto" w:fill="FFFFFF"/>
        </w:rPr>
        <w:t>地 方 商 会</w:t>
      </w:r>
    </w:p>
    <w:p w:rsidR="0011507C" w:rsidRPr="00340340" w:rsidRDefault="0011507C" w:rsidP="0011507C">
      <w:pPr>
        <w:pStyle w:val="a8"/>
        <w:widowControl w:val="0"/>
        <w:shd w:val="clear" w:color="auto" w:fill="FFFFFF"/>
        <w:adjustRightInd w:val="0"/>
        <w:snapToGrid w:val="0"/>
        <w:spacing w:before="0" w:beforeAutospacing="0" w:after="0" w:afterAutospacing="0" w:line="560" w:lineRule="exact"/>
        <w:ind w:firstLineChars="213" w:firstLine="770"/>
        <w:jc w:val="center"/>
        <w:rPr>
          <w:rFonts w:ascii="黑体" w:eastAsia="黑体" w:hAnsi="黑体"/>
          <w:b/>
          <w:bCs/>
          <w:sz w:val="36"/>
          <w:szCs w:val="36"/>
        </w:rPr>
      </w:pPr>
    </w:p>
    <w:p w:rsidR="0011507C" w:rsidRPr="00340340" w:rsidRDefault="0011507C" w:rsidP="0011507C">
      <w:pPr>
        <w:pStyle w:val="a8"/>
        <w:widowControl w:val="0"/>
        <w:shd w:val="clear" w:color="auto" w:fill="FFFFFF"/>
        <w:adjustRightInd w:val="0"/>
        <w:snapToGrid w:val="0"/>
        <w:spacing w:before="0" w:beforeAutospacing="0" w:after="0" w:afterAutospacing="0" w:line="560" w:lineRule="exact"/>
        <w:ind w:firstLineChars="213" w:firstLine="770"/>
        <w:jc w:val="center"/>
        <w:rPr>
          <w:rFonts w:ascii="仿宋_GB2312" w:eastAsia="仿宋_GB2312" w:hAnsi="微软雅黑"/>
          <w:spacing w:val="7"/>
          <w:sz w:val="28"/>
          <w:szCs w:val="28"/>
        </w:rPr>
      </w:pPr>
      <w:r w:rsidRPr="00340340">
        <w:rPr>
          <w:rFonts w:ascii="黑体" w:eastAsia="黑体" w:hAnsi="黑体" w:hint="eastAsia"/>
          <w:b/>
          <w:bCs/>
          <w:sz w:val="36"/>
          <w:szCs w:val="36"/>
        </w:rPr>
        <w:t>天津市商业联合会举办“不忘初心、牢记使命”</w:t>
      </w:r>
      <w:r w:rsidR="00CC09D6" w:rsidRPr="00340340">
        <w:rPr>
          <w:rFonts w:ascii="黑体" w:eastAsia="黑体" w:hAnsi="黑体" w:hint="eastAsia"/>
          <w:b/>
          <w:bCs/>
          <w:sz w:val="36"/>
          <w:szCs w:val="36"/>
        </w:rPr>
        <w:t xml:space="preserve">  </w:t>
      </w:r>
      <w:r w:rsidRPr="00340340">
        <w:rPr>
          <w:rFonts w:ascii="黑体" w:eastAsia="黑体" w:hAnsi="黑体" w:hint="eastAsia"/>
          <w:b/>
          <w:bCs/>
          <w:sz w:val="36"/>
          <w:szCs w:val="36"/>
        </w:rPr>
        <w:t>主题教育活动暨五届一次会长扩大会</w:t>
      </w:r>
      <w:r w:rsidRPr="00340340">
        <w:rPr>
          <w:rFonts w:ascii="黑体" w:eastAsia="黑体" w:hAnsi="黑体" w:hint="eastAsia"/>
          <w:b/>
          <w:bCs/>
          <w:sz w:val="36"/>
          <w:szCs w:val="36"/>
        </w:rPr>
        <w:br/>
      </w:r>
      <w:r w:rsidRPr="00340340">
        <w:rPr>
          <w:rFonts w:ascii="仿宋_GB2312" w:eastAsia="仿宋_GB2312" w:hAnsi="微软雅黑" w:hint="eastAsia"/>
          <w:spacing w:val="7"/>
          <w:sz w:val="28"/>
          <w:szCs w:val="28"/>
        </w:rPr>
        <w:t>    </w:t>
      </w:r>
    </w:p>
    <w:p w:rsidR="005F1C61" w:rsidRPr="00340340" w:rsidRDefault="0011507C" w:rsidP="005F1C61">
      <w:pPr>
        <w:pStyle w:val="a8"/>
        <w:widowControl w:val="0"/>
        <w:shd w:val="clear" w:color="auto" w:fill="FFFFFF"/>
        <w:adjustRightInd w:val="0"/>
        <w:snapToGrid w:val="0"/>
        <w:spacing w:before="0" w:beforeAutospacing="0" w:after="0" w:afterAutospacing="0" w:line="560" w:lineRule="exact"/>
        <w:ind w:firstLineChars="213" w:firstLine="626"/>
        <w:rPr>
          <w:rFonts w:ascii="仿宋_GB2312" w:eastAsia="仿宋_GB2312" w:hAnsi="微软雅黑"/>
          <w:spacing w:val="7"/>
          <w:sz w:val="28"/>
          <w:szCs w:val="28"/>
        </w:rPr>
      </w:pPr>
      <w:r w:rsidRPr="00340340">
        <w:rPr>
          <w:rFonts w:ascii="仿宋_GB2312" w:eastAsia="仿宋_GB2312" w:hAnsi="微软雅黑" w:hint="eastAsia"/>
          <w:spacing w:val="7"/>
          <w:sz w:val="28"/>
          <w:szCs w:val="28"/>
        </w:rPr>
        <w:t>2019年6月20日，为庆祝中国共产党建党98周年，天津市商业联合会在天津宁河兴家博物馆</w:t>
      </w:r>
      <w:r w:rsidR="005F1C61" w:rsidRPr="00340340">
        <w:rPr>
          <w:rFonts w:ascii="仿宋_GB2312" w:eastAsia="仿宋_GB2312" w:hAnsi="微软雅黑" w:hint="eastAsia"/>
          <w:spacing w:val="7"/>
          <w:sz w:val="28"/>
          <w:szCs w:val="28"/>
        </w:rPr>
        <w:t>举办了“不忘初心、牢记使命”主题教育活动暨五届一次会长扩大会议。天津</w:t>
      </w:r>
      <w:r w:rsidRPr="00340340">
        <w:rPr>
          <w:rFonts w:ascii="仿宋_GB2312" w:eastAsia="仿宋_GB2312" w:hAnsi="微软雅黑" w:hint="eastAsia"/>
          <w:spacing w:val="7"/>
          <w:sz w:val="28"/>
          <w:szCs w:val="28"/>
        </w:rPr>
        <w:t>市商联会会长、副会长及商务系统商协会会长、秘书长及特约代表近60</w:t>
      </w:r>
      <w:r w:rsidR="005F1C61" w:rsidRPr="00340340">
        <w:rPr>
          <w:rFonts w:ascii="仿宋_GB2312" w:eastAsia="仿宋_GB2312" w:hAnsi="微软雅黑" w:hint="eastAsia"/>
          <w:spacing w:val="7"/>
          <w:sz w:val="28"/>
          <w:szCs w:val="28"/>
        </w:rPr>
        <w:t>人出席</w:t>
      </w:r>
      <w:r w:rsidRPr="00340340">
        <w:rPr>
          <w:rFonts w:ascii="仿宋_GB2312" w:eastAsia="仿宋_GB2312" w:hAnsi="微软雅黑" w:hint="eastAsia"/>
          <w:spacing w:val="7"/>
          <w:sz w:val="28"/>
          <w:szCs w:val="28"/>
        </w:rPr>
        <w:t>。</w:t>
      </w:r>
    </w:p>
    <w:p w:rsidR="00AF0DBE" w:rsidRPr="00340340" w:rsidRDefault="0011507C" w:rsidP="005F1C61">
      <w:pPr>
        <w:pStyle w:val="a8"/>
        <w:widowControl w:val="0"/>
        <w:shd w:val="clear" w:color="auto" w:fill="FFFFFF"/>
        <w:adjustRightInd w:val="0"/>
        <w:snapToGrid w:val="0"/>
        <w:spacing w:before="0" w:beforeAutospacing="0" w:after="0" w:afterAutospacing="0" w:line="560" w:lineRule="exact"/>
        <w:ind w:firstLineChars="100" w:firstLine="294"/>
        <w:rPr>
          <w:rFonts w:ascii="仿宋_GB2312" w:eastAsia="仿宋_GB2312" w:hAnsi="微软雅黑"/>
          <w:spacing w:val="7"/>
          <w:sz w:val="28"/>
          <w:szCs w:val="28"/>
        </w:rPr>
      </w:pPr>
      <w:r w:rsidRPr="00340340">
        <w:rPr>
          <w:rFonts w:ascii="仿宋_GB2312" w:eastAsia="仿宋_GB2312" w:hAnsi="微软雅黑" w:hint="eastAsia"/>
          <w:spacing w:val="7"/>
          <w:sz w:val="28"/>
          <w:szCs w:val="28"/>
        </w:rPr>
        <w:t>   </w:t>
      </w:r>
      <w:r w:rsidR="005F1C61" w:rsidRPr="00340340">
        <w:rPr>
          <w:rFonts w:ascii="仿宋_GB2312" w:eastAsia="仿宋_GB2312" w:hAnsi="微软雅黑" w:hint="eastAsia"/>
          <w:spacing w:val="7"/>
          <w:sz w:val="28"/>
          <w:szCs w:val="28"/>
        </w:rPr>
        <w:t>天津市</w:t>
      </w:r>
      <w:r w:rsidRPr="00340340">
        <w:rPr>
          <w:rFonts w:ascii="仿宋_GB2312" w:eastAsia="仿宋_GB2312" w:hAnsi="微软雅黑" w:hint="eastAsia"/>
          <w:spacing w:val="7"/>
          <w:sz w:val="28"/>
          <w:szCs w:val="28"/>
        </w:rPr>
        <w:t>商联会会长韩秀云主持会议，并做了《天津市商业联合会第五届理事会工作报告》。韩秀云</w:t>
      </w:r>
      <w:r w:rsidR="005F1C61" w:rsidRPr="00340340">
        <w:rPr>
          <w:rFonts w:ascii="仿宋_GB2312" w:eastAsia="仿宋_GB2312" w:hAnsi="微软雅黑" w:hint="eastAsia"/>
          <w:spacing w:val="7"/>
          <w:sz w:val="28"/>
          <w:szCs w:val="28"/>
        </w:rPr>
        <w:t>会长</w:t>
      </w:r>
      <w:r w:rsidRPr="00340340">
        <w:rPr>
          <w:rFonts w:ascii="仿宋_GB2312" w:eastAsia="仿宋_GB2312" w:hAnsi="微软雅黑" w:hint="eastAsia"/>
          <w:spacing w:val="7"/>
          <w:sz w:val="28"/>
          <w:szCs w:val="28"/>
        </w:rPr>
        <w:t>在报告中指出</w:t>
      </w:r>
      <w:r w:rsidR="005F1C61" w:rsidRPr="00340340">
        <w:rPr>
          <w:rFonts w:ascii="仿宋_GB2312" w:eastAsia="仿宋_GB2312" w:hAnsi="微软雅黑" w:hint="eastAsia"/>
          <w:spacing w:val="7"/>
          <w:sz w:val="28"/>
          <w:szCs w:val="28"/>
        </w:rPr>
        <w:t>，</w:t>
      </w:r>
      <w:r w:rsidRPr="00340340">
        <w:rPr>
          <w:rFonts w:ascii="仿宋_GB2312" w:eastAsia="仿宋_GB2312" w:hAnsi="微软雅黑" w:hint="eastAsia"/>
          <w:spacing w:val="7"/>
          <w:sz w:val="28"/>
          <w:szCs w:val="28"/>
        </w:rPr>
        <w:t>2017年</w:t>
      </w:r>
      <w:r w:rsidR="005F1C61" w:rsidRPr="00340340">
        <w:rPr>
          <w:rFonts w:ascii="仿宋_GB2312" w:eastAsia="仿宋_GB2312" w:hAnsi="微软雅黑" w:hint="eastAsia"/>
          <w:spacing w:val="7"/>
          <w:sz w:val="28"/>
          <w:szCs w:val="28"/>
        </w:rPr>
        <w:t>天津</w:t>
      </w:r>
      <w:r w:rsidRPr="00340340">
        <w:rPr>
          <w:rFonts w:ascii="仿宋_GB2312" w:eastAsia="仿宋_GB2312" w:hAnsi="微软雅黑" w:hint="eastAsia"/>
          <w:spacing w:val="7"/>
          <w:sz w:val="28"/>
          <w:szCs w:val="28"/>
        </w:rPr>
        <w:t>商联会召开第五届会员代表大会，选举产生了新一届领导</w:t>
      </w:r>
      <w:r w:rsidR="005F1C61" w:rsidRPr="00340340">
        <w:rPr>
          <w:rFonts w:ascii="仿宋_GB2312" w:eastAsia="仿宋_GB2312" w:hAnsi="微软雅黑" w:hint="eastAsia"/>
          <w:spacing w:val="7"/>
          <w:sz w:val="28"/>
          <w:szCs w:val="28"/>
        </w:rPr>
        <w:t>班子</w:t>
      </w:r>
      <w:r w:rsidRPr="00340340">
        <w:rPr>
          <w:rFonts w:ascii="仿宋_GB2312" w:eastAsia="仿宋_GB2312" w:hAnsi="微软雅黑" w:hint="eastAsia"/>
          <w:spacing w:val="7"/>
          <w:sz w:val="28"/>
          <w:szCs w:val="28"/>
        </w:rPr>
        <w:t>，一年多来我们全力推动行业提质增效，全面推动结构优化、动力转换和高质量发展转型，取得了显著成果</w:t>
      </w:r>
      <w:r w:rsidR="005F1C61" w:rsidRPr="00340340">
        <w:rPr>
          <w:rFonts w:ascii="仿宋_GB2312" w:eastAsia="仿宋_GB2312" w:hAnsi="微软雅黑" w:hint="eastAsia"/>
          <w:spacing w:val="7"/>
          <w:sz w:val="28"/>
          <w:szCs w:val="28"/>
        </w:rPr>
        <w:t>。</w:t>
      </w:r>
      <w:r w:rsidR="00AF0DBE" w:rsidRPr="00340340">
        <w:rPr>
          <w:rFonts w:ascii="仿宋_GB2312" w:eastAsia="仿宋_GB2312" w:hAnsi="微软雅黑" w:hint="eastAsia"/>
          <w:spacing w:val="7"/>
          <w:sz w:val="28"/>
          <w:szCs w:val="28"/>
        </w:rPr>
        <w:t>加强党组织建设工作，开展丰富多彩的党建活动；加强对外交流，创造合作机遇；</w:t>
      </w:r>
      <w:r w:rsidR="00AF0DBE" w:rsidRPr="00340340">
        <w:rPr>
          <w:rFonts w:ascii="仿宋_GB2312" w:eastAsia="仿宋_GB2312" w:hAnsi="微软雅黑" w:hint="eastAsia"/>
          <w:spacing w:val="7"/>
          <w:sz w:val="28"/>
          <w:szCs w:val="28"/>
        </w:rPr>
        <w:lastRenderedPageBreak/>
        <w:t>规范务实，推广绿色食品，组织会展节庆活动；发挥组织优势，加强行业联合与合作；加强信息建设，推动行业与企业间的交流合作；加强组织建设，发展会员，壮大力量；积极推动商联会改革，顺利完成脱钩任务；不断增强发展实力，持续保持发展活力。</w:t>
      </w:r>
      <w:r w:rsidRPr="00340340">
        <w:rPr>
          <w:rFonts w:ascii="仿宋_GB2312" w:eastAsia="仿宋_GB2312" w:hAnsi="微软雅黑" w:hint="eastAsia"/>
          <w:spacing w:val="7"/>
          <w:sz w:val="28"/>
          <w:szCs w:val="28"/>
        </w:rPr>
        <w:t>2019年已经过了一半时间，今后</w:t>
      </w:r>
      <w:r w:rsidR="005F1C61" w:rsidRPr="00340340">
        <w:rPr>
          <w:rFonts w:ascii="仿宋_GB2312" w:eastAsia="仿宋_GB2312" w:hAnsi="微软雅黑" w:hint="eastAsia"/>
          <w:spacing w:val="7"/>
          <w:sz w:val="28"/>
          <w:szCs w:val="28"/>
        </w:rPr>
        <w:t>天津</w:t>
      </w:r>
      <w:r w:rsidRPr="00340340">
        <w:rPr>
          <w:rFonts w:ascii="仿宋_GB2312" w:eastAsia="仿宋_GB2312" w:hAnsi="微软雅黑" w:hint="eastAsia"/>
          <w:spacing w:val="7"/>
          <w:sz w:val="28"/>
          <w:szCs w:val="28"/>
        </w:rPr>
        <w:t>商联会在工作中要加强横向联合、纵向联动，不断提升商业流通行业的信息化、标准化、品牌化、集约化水平。韩秀云</w:t>
      </w:r>
      <w:r w:rsidR="005F1C61" w:rsidRPr="00340340">
        <w:rPr>
          <w:rFonts w:ascii="仿宋_GB2312" w:eastAsia="仿宋_GB2312" w:hAnsi="微软雅黑" w:hint="eastAsia"/>
          <w:spacing w:val="7"/>
          <w:sz w:val="28"/>
          <w:szCs w:val="28"/>
        </w:rPr>
        <w:t>会长</w:t>
      </w:r>
      <w:r w:rsidRPr="00340340">
        <w:rPr>
          <w:rFonts w:ascii="仿宋_GB2312" w:eastAsia="仿宋_GB2312" w:hAnsi="微软雅黑" w:hint="eastAsia"/>
          <w:spacing w:val="7"/>
          <w:sz w:val="28"/>
          <w:szCs w:val="28"/>
        </w:rPr>
        <w:t>要求</w:t>
      </w:r>
      <w:r w:rsidR="005F1C61" w:rsidRPr="00340340">
        <w:rPr>
          <w:rFonts w:ascii="仿宋_GB2312" w:eastAsia="仿宋_GB2312" w:hAnsi="微软雅黑" w:hint="eastAsia"/>
          <w:spacing w:val="7"/>
          <w:sz w:val="28"/>
          <w:szCs w:val="28"/>
        </w:rPr>
        <w:t>在座</w:t>
      </w:r>
      <w:r w:rsidRPr="00340340">
        <w:rPr>
          <w:rFonts w:ascii="仿宋_GB2312" w:eastAsia="仿宋_GB2312" w:hAnsi="微软雅黑" w:hint="eastAsia"/>
          <w:spacing w:val="7"/>
          <w:sz w:val="28"/>
          <w:szCs w:val="28"/>
        </w:rPr>
        <w:t>会长、副会长</w:t>
      </w:r>
      <w:r w:rsidR="005F1C61" w:rsidRPr="00340340">
        <w:rPr>
          <w:rFonts w:ascii="仿宋_GB2312" w:eastAsia="仿宋_GB2312" w:hAnsi="微软雅黑" w:hint="eastAsia"/>
          <w:spacing w:val="7"/>
          <w:sz w:val="28"/>
          <w:szCs w:val="28"/>
        </w:rPr>
        <w:t>、秘书长</w:t>
      </w:r>
      <w:r w:rsidRPr="00340340">
        <w:rPr>
          <w:rFonts w:ascii="仿宋_GB2312" w:eastAsia="仿宋_GB2312" w:hAnsi="微软雅黑" w:hint="eastAsia"/>
          <w:spacing w:val="7"/>
          <w:sz w:val="28"/>
          <w:szCs w:val="28"/>
        </w:rPr>
        <w:t>及商协会要充分发挥所长，齐心协力做好2019下半年主要工作</w:t>
      </w:r>
      <w:r w:rsidR="005F1C61" w:rsidRPr="00340340">
        <w:rPr>
          <w:rFonts w:ascii="仿宋_GB2312" w:eastAsia="仿宋_GB2312" w:hAnsi="微软雅黑" w:hint="eastAsia"/>
          <w:spacing w:val="7"/>
          <w:sz w:val="28"/>
          <w:szCs w:val="28"/>
        </w:rPr>
        <w:t>。</w:t>
      </w:r>
    </w:p>
    <w:p w:rsidR="005F1C61" w:rsidRPr="00340340" w:rsidRDefault="0011507C" w:rsidP="00532658">
      <w:pPr>
        <w:pStyle w:val="a8"/>
        <w:widowControl w:val="0"/>
        <w:shd w:val="clear" w:color="auto" w:fill="FFFFFF"/>
        <w:adjustRightInd w:val="0"/>
        <w:snapToGrid w:val="0"/>
        <w:spacing w:before="0" w:beforeAutospacing="0" w:after="0" w:afterAutospacing="0" w:line="560" w:lineRule="exact"/>
        <w:rPr>
          <w:rFonts w:ascii="仿宋_GB2312" w:eastAsia="仿宋_GB2312" w:hAnsi="微软雅黑"/>
          <w:spacing w:val="7"/>
          <w:sz w:val="28"/>
          <w:szCs w:val="28"/>
        </w:rPr>
      </w:pPr>
      <w:r w:rsidRPr="00340340">
        <w:rPr>
          <w:rFonts w:ascii="仿宋_GB2312" w:eastAsia="仿宋_GB2312" w:hAnsi="微软雅黑" w:hint="eastAsia"/>
          <w:spacing w:val="7"/>
          <w:sz w:val="28"/>
          <w:szCs w:val="28"/>
        </w:rPr>
        <w:t>韩秀云</w:t>
      </w:r>
      <w:r w:rsidR="005F1C61" w:rsidRPr="00340340">
        <w:rPr>
          <w:rFonts w:ascii="仿宋_GB2312" w:eastAsia="仿宋_GB2312" w:hAnsi="微软雅黑" w:hint="eastAsia"/>
          <w:spacing w:val="7"/>
          <w:sz w:val="28"/>
          <w:szCs w:val="28"/>
        </w:rPr>
        <w:t>会长</w:t>
      </w:r>
      <w:r w:rsidRPr="00340340">
        <w:rPr>
          <w:rFonts w:ascii="仿宋_GB2312" w:eastAsia="仿宋_GB2312" w:hAnsi="微软雅黑" w:hint="eastAsia"/>
          <w:spacing w:val="7"/>
          <w:sz w:val="28"/>
          <w:szCs w:val="28"/>
        </w:rPr>
        <w:t>对亚太零售商大会的组织工作做了特别的介绍与布置</w:t>
      </w:r>
      <w:r w:rsidR="005F1C61" w:rsidRPr="00340340">
        <w:rPr>
          <w:rFonts w:ascii="仿宋_GB2312" w:eastAsia="仿宋_GB2312" w:hAnsi="微软雅黑" w:hint="eastAsia"/>
          <w:spacing w:val="7"/>
          <w:sz w:val="28"/>
          <w:szCs w:val="28"/>
        </w:rPr>
        <w:t>，</w:t>
      </w:r>
      <w:r w:rsidRPr="00340340">
        <w:rPr>
          <w:rFonts w:ascii="仿宋_GB2312" w:eastAsia="仿宋_GB2312" w:hAnsi="微软雅黑" w:hint="eastAsia"/>
          <w:spacing w:val="7"/>
          <w:sz w:val="28"/>
          <w:szCs w:val="28"/>
        </w:rPr>
        <w:t>还对全国商贸流通服务业先进集体、劳动模范和先进工作者评比表彰项目以及2019年全国商业优秀企业家等评选活动进行了部署。</w:t>
      </w:r>
    </w:p>
    <w:p w:rsidR="0011507C" w:rsidRPr="00340340" w:rsidRDefault="0011507C" w:rsidP="005F1C61">
      <w:pPr>
        <w:pStyle w:val="a8"/>
        <w:widowControl w:val="0"/>
        <w:shd w:val="clear" w:color="auto" w:fill="FFFFFF"/>
        <w:adjustRightInd w:val="0"/>
        <w:snapToGrid w:val="0"/>
        <w:spacing w:before="0" w:beforeAutospacing="0" w:after="0" w:afterAutospacing="0" w:line="560" w:lineRule="exact"/>
        <w:rPr>
          <w:rFonts w:ascii="仿宋_GB2312" w:eastAsia="仿宋_GB2312" w:hAnsi="微软雅黑"/>
          <w:spacing w:val="7"/>
          <w:sz w:val="28"/>
          <w:szCs w:val="28"/>
        </w:rPr>
      </w:pPr>
      <w:r w:rsidRPr="00340340">
        <w:rPr>
          <w:rFonts w:ascii="仿宋_GB2312" w:eastAsia="仿宋_GB2312" w:hAnsi="微软雅黑" w:hint="eastAsia"/>
          <w:spacing w:val="7"/>
          <w:sz w:val="28"/>
          <w:szCs w:val="28"/>
        </w:rPr>
        <w:t>    </w:t>
      </w:r>
      <w:r w:rsidR="00E14E6A" w:rsidRPr="00340340">
        <w:rPr>
          <w:rFonts w:ascii="仿宋_GB2312" w:eastAsia="仿宋_GB2312" w:hAnsi="微软雅黑" w:hint="eastAsia"/>
          <w:spacing w:val="7"/>
          <w:sz w:val="28"/>
          <w:szCs w:val="28"/>
        </w:rPr>
        <w:t xml:space="preserve"> </w:t>
      </w:r>
      <w:r w:rsidRPr="00340340">
        <w:rPr>
          <w:rFonts w:ascii="仿宋_GB2312" w:eastAsia="仿宋_GB2312" w:hAnsi="微软雅黑" w:hint="eastAsia"/>
          <w:spacing w:val="7"/>
          <w:sz w:val="28"/>
          <w:szCs w:val="28"/>
        </w:rPr>
        <w:t>与会人员面对入党誓词集体宣誓</w:t>
      </w:r>
      <w:r w:rsidR="00E14E6A" w:rsidRPr="00340340">
        <w:rPr>
          <w:rFonts w:ascii="仿宋_GB2312" w:eastAsia="仿宋_GB2312" w:hAnsi="微软雅黑" w:hint="eastAsia"/>
          <w:spacing w:val="7"/>
          <w:sz w:val="28"/>
          <w:szCs w:val="28"/>
        </w:rPr>
        <w:t>后，</w:t>
      </w:r>
      <w:r w:rsidRPr="00340340">
        <w:rPr>
          <w:rFonts w:ascii="仿宋_GB2312" w:eastAsia="仿宋_GB2312" w:hAnsi="微软雅黑" w:hint="eastAsia"/>
          <w:spacing w:val="7"/>
          <w:sz w:val="28"/>
          <w:szCs w:val="28"/>
        </w:rPr>
        <w:t>参观了《庆祝新中国成立70周年主题展览》，重温伟大国家峥嵘岁月历程。</w:t>
      </w:r>
      <w:r w:rsidR="00C148F9" w:rsidRPr="00340340">
        <w:rPr>
          <w:rFonts w:ascii="仿宋_GB2312" w:eastAsia="仿宋_GB2312" w:hAnsi="微软雅黑" w:hint="eastAsia"/>
          <w:spacing w:val="7"/>
          <w:sz w:val="28"/>
          <w:szCs w:val="28"/>
        </w:rPr>
        <w:t xml:space="preserve">            </w:t>
      </w:r>
    </w:p>
    <w:p w:rsidR="0011507C" w:rsidRPr="00340340" w:rsidRDefault="00C148F9" w:rsidP="00C148F9">
      <w:pPr>
        <w:pStyle w:val="a8"/>
        <w:widowControl w:val="0"/>
        <w:shd w:val="clear" w:color="auto" w:fill="FFFFFF"/>
        <w:wordWrap w:val="0"/>
        <w:snapToGrid w:val="0"/>
        <w:spacing w:before="0" w:beforeAutospacing="0" w:after="0" w:afterAutospacing="0" w:line="560" w:lineRule="exact"/>
        <w:jc w:val="right"/>
        <w:rPr>
          <w:rFonts w:ascii="黑体" w:eastAsia="黑体" w:hAnsi="黑体" w:cs="黑体"/>
          <w:sz w:val="28"/>
          <w:szCs w:val="28"/>
          <w:shd w:val="pct10" w:color="auto" w:fill="FFFFFF"/>
        </w:rPr>
      </w:pPr>
      <w:r w:rsidRPr="00340340">
        <w:rPr>
          <w:rFonts w:ascii="楷体" w:eastAsia="楷体" w:hAnsi="楷体" w:hint="eastAsia"/>
          <w:sz w:val="28"/>
          <w:szCs w:val="28"/>
        </w:rPr>
        <w:t xml:space="preserve">        （天津市商业联合会）</w:t>
      </w:r>
    </w:p>
    <w:p w:rsidR="00C148F9" w:rsidRPr="00340340" w:rsidRDefault="00C148F9" w:rsidP="008C1192">
      <w:pPr>
        <w:pStyle w:val="a8"/>
        <w:widowControl w:val="0"/>
        <w:shd w:val="clear" w:color="auto" w:fill="FFFFFF"/>
        <w:snapToGrid w:val="0"/>
        <w:spacing w:before="0" w:beforeAutospacing="0" w:after="0" w:afterAutospacing="0" w:line="560" w:lineRule="exact"/>
        <w:rPr>
          <w:rFonts w:ascii="黑体" w:eastAsia="黑体" w:hAnsi="黑体" w:cs="黑体"/>
          <w:sz w:val="28"/>
          <w:szCs w:val="28"/>
          <w:shd w:val="pct10" w:color="auto" w:fill="FFFFFF"/>
        </w:rPr>
      </w:pPr>
    </w:p>
    <w:p w:rsidR="00A2588F" w:rsidRPr="00340340" w:rsidRDefault="00BE7D53" w:rsidP="008C1192">
      <w:pPr>
        <w:pStyle w:val="a8"/>
        <w:widowControl w:val="0"/>
        <w:shd w:val="clear" w:color="auto" w:fill="FFFFFF"/>
        <w:snapToGrid w:val="0"/>
        <w:spacing w:before="0" w:beforeAutospacing="0" w:after="0" w:afterAutospacing="0" w:line="560" w:lineRule="exact"/>
        <w:rPr>
          <w:rFonts w:ascii="黑体" w:eastAsia="黑体" w:hAnsi="黑体" w:cs="黑体"/>
          <w:sz w:val="28"/>
          <w:szCs w:val="28"/>
          <w:shd w:val="pct10" w:color="auto" w:fill="FFFFFF"/>
        </w:rPr>
      </w:pPr>
      <w:r w:rsidRPr="00340340">
        <w:rPr>
          <w:rFonts w:ascii="黑体" w:eastAsia="黑体" w:hAnsi="黑体" w:cs="黑体" w:hint="eastAsia"/>
          <w:sz w:val="28"/>
          <w:szCs w:val="28"/>
          <w:shd w:val="pct10" w:color="auto" w:fill="FFFFFF"/>
        </w:rPr>
        <w:t xml:space="preserve">信 息 传 </w:t>
      </w:r>
      <w:r w:rsidR="000C1C48" w:rsidRPr="00340340">
        <w:rPr>
          <w:rFonts w:ascii="黑体" w:eastAsia="黑体" w:hAnsi="黑体" w:cs="黑体" w:hint="eastAsia"/>
          <w:sz w:val="28"/>
          <w:szCs w:val="28"/>
          <w:shd w:val="pct10" w:color="auto" w:fill="FFFFFF"/>
        </w:rPr>
        <w:t>真</w:t>
      </w:r>
    </w:p>
    <w:p w:rsidR="00457E90" w:rsidRPr="00340340" w:rsidRDefault="00457E90" w:rsidP="008C1192">
      <w:pPr>
        <w:pStyle w:val="a8"/>
        <w:widowControl w:val="0"/>
        <w:shd w:val="clear" w:color="auto" w:fill="FFFFFF"/>
        <w:snapToGrid w:val="0"/>
        <w:spacing w:before="0" w:beforeAutospacing="0" w:after="0" w:afterAutospacing="0" w:line="560" w:lineRule="exact"/>
        <w:rPr>
          <w:rFonts w:ascii="黑体" w:eastAsia="黑体" w:hAnsi="黑体" w:cs="黑体"/>
          <w:sz w:val="28"/>
          <w:szCs w:val="28"/>
          <w:shd w:val="pct10" w:color="auto" w:fill="FFFFFF"/>
        </w:rPr>
      </w:pPr>
    </w:p>
    <w:p w:rsidR="00457E90" w:rsidRPr="00340340" w:rsidRDefault="00457E90" w:rsidP="008C1192">
      <w:pPr>
        <w:pStyle w:val="a8"/>
        <w:widowControl w:val="0"/>
        <w:shd w:val="clear" w:color="auto" w:fill="FFFFFF"/>
        <w:snapToGrid w:val="0"/>
        <w:spacing w:before="0" w:beforeAutospacing="0" w:after="0" w:afterAutospacing="0" w:line="560" w:lineRule="exact"/>
        <w:ind w:rightChars="-83" w:right="-199"/>
        <w:jc w:val="center"/>
        <w:rPr>
          <w:rFonts w:ascii="黑体" w:eastAsia="黑体" w:hAnsi="黑体"/>
          <w:b/>
          <w:bCs/>
          <w:sz w:val="36"/>
          <w:szCs w:val="36"/>
        </w:rPr>
      </w:pPr>
      <w:r w:rsidRPr="00340340">
        <w:rPr>
          <w:rFonts w:ascii="黑体" w:eastAsia="黑体" w:hAnsi="黑体" w:hint="eastAsia"/>
          <w:b/>
          <w:bCs/>
          <w:sz w:val="36"/>
          <w:szCs w:val="36"/>
        </w:rPr>
        <w:t>2019年1-5月份消费品市场运行情况分析</w:t>
      </w:r>
    </w:p>
    <w:p w:rsidR="00CA06DD" w:rsidRPr="00340340" w:rsidRDefault="00CA06DD" w:rsidP="008C1192">
      <w:pPr>
        <w:pStyle w:val="a8"/>
        <w:widowControl w:val="0"/>
        <w:shd w:val="clear" w:color="auto" w:fill="FFFFFF"/>
        <w:snapToGrid w:val="0"/>
        <w:spacing w:before="0" w:beforeAutospacing="0" w:after="0" w:afterAutospacing="0" w:line="560" w:lineRule="exact"/>
        <w:ind w:firstLineChars="221" w:firstLine="619"/>
        <w:rPr>
          <w:rFonts w:ascii="仿宋" w:eastAsia="仿宋" w:hAnsi="仿宋"/>
          <w:sz w:val="28"/>
          <w:szCs w:val="28"/>
        </w:rPr>
      </w:pPr>
    </w:p>
    <w:p w:rsidR="00457E90" w:rsidRPr="00340340" w:rsidRDefault="00457E90" w:rsidP="00732BAD">
      <w:pPr>
        <w:pStyle w:val="a8"/>
        <w:widowControl w:val="0"/>
        <w:shd w:val="clear" w:color="auto" w:fill="FFFFFF"/>
        <w:adjustRightInd w:val="0"/>
        <w:snapToGrid w:val="0"/>
        <w:spacing w:before="0" w:beforeAutospacing="0" w:after="0" w:afterAutospacing="0" w:line="560" w:lineRule="exact"/>
        <w:ind w:firstLineChars="196" w:firstLine="578"/>
        <w:jc w:val="both"/>
        <w:rPr>
          <w:rFonts w:ascii="仿宋_GB2312" w:eastAsia="仿宋_GB2312" w:hAnsi="微软雅黑"/>
          <w:spacing w:val="7"/>
          <w:sz w:val="28"/>
          <w:szCs w:val="28"/>
        </w:rPr>
      </w:pPr>
      <w:r w:rsidRPr="00340340">
        <w:rPr>
          <w:rStyle w:val="a9"/>
          <w:rFonts w:ascii="仿宋_GB2312" w:eastAsia="仿宋_GB2312" w:hAnsi="微软雅黑" w:hint="eastAsia"/>
          <w:spacing w:val="7"/>
          <w:sz w:val="28"/>
          <w:szCs w:val="28"/>
        </w:rPr>
        <w:t>1、社会消费品零售总额增长8.1%，增速回升</w:t>
      </w:r>
    </w:p>
    <w:p w:rsidR="00457E90" w:rsidRPr="00340340" w:rsidRDefault="00457E90" w:rsidP="008C1192">
      <w:pPr>
        <w:pStyle w:val="a8"/>
        <w:widowControl w:val="0"/>
        <w:shd w:val="clear" w:color="auto" w:fill="FFFFFF"/>
        <w:adjustRightInd w:val="0"/>
        <w:snapToGrid w:val="0"/>
        <w:spacing w:before="0" w:beforeAutospacing="0" w:after="0" w:afterAutospacing="0" w:line="560" w:lineRule="exact"/>
        <w:ind w:firstLineChars="213" w:firstLine="626"/>
        <w:jc w:val="both"/>
        <w:rPr>
          <w:rFonts w:ascii="仿宋_GB2312" w:eastAsia="仿宋_GB2312" w:hAnsi="微软雅黑"/>
          <w:spacing w:val="7"/>
          <w:sz w:val="28"/>
          <w:szCs w:val="28"/>
          <w:shd w:val="clear" w:color="auto" w:fill="FFFFFF"/>
        </w:rPr>
      </w:pPr>
      <w:r w:rsidRPr="00340340">
        <w:rPr>
          <w:rFonts w:ascii="仿宋_GB2312" w:eastAsia="仿宋_GB2312" w:hAnsi="微软雅黑" w:hint="eastAsia"/>
          <w:spacing w:val="7"/>
          <w:sz w:val="28"/>
          <w:szCs w:val="28"/>
        </w:rPr>
        <w:t>1-5月份我国社会消费品零售总额实现161332亿元，累计</w:t>
      </w:r>
      <w:r w:rsidRPr="00340340">
        <w:rPr>
          <w:rFonts w:ascii="仿宋_GB2312" w:eastAsia="仿宋_GB2312" w:hAnsi="微软雅黑" w:hint="eastAsia"/>
          <w:spacing w:val="7"/>
          <w:sz w:val="28"/>
          <w:szCs w:val="28"/>
        </w:rPr>
        <w:lastRenderedPageBreak/>
        <w:t>增长8.1%，增速较1-4月份回升0.1个百分点。其中，5月份同比增长8.6%，增速环比提升1.4个百分点。</w:t>
      </w:r>
      <w:r w:rsidRPr="00340340">
        <w:rPr>
          <w:rFonts w:ascii="仿宋_GB2312" w:eastAsia="仿宋_GB2312" w:hAnsi="微软雅黑" w:hint="eastAsia"/>
          <w:spacing w:val="7"/>
          <w:sz w:val="28"/>
          <w:szCs w:val="28"/>
          <w:shd w:val="clear" w:color="auto" w:fill="FFFFFF"/>
        </w:rPr>
        <w:t>扣除价格因素,1-5月份我国社会消费品零售总额实际增长6.4%,增速与1-4月份持平。其中，5月份同比实际增长6.4%，增速环比加快1.3个百分点。</w:t>
      </w:r>
    </w:p>
    <w:p w:rsidR="00457E90" w:rsidRPr="00340340" w:rsidRDefault="00457E90" w:rsidP="00732BAD">
      <w:pPr>
        <w:pStyle w:val="a8"/>
        <w:widowControl w:val="0"/>
        <w:shd w:val="clear" w:color="auto" w:fill="FFFFFF"/>
        <w:adjustRightInd w:val="0"/>
        <w:snapToGrid w:val="0"/>
        <w:spacing w:before="0" w:beforeAutospacing="0" w:after="0" w:afterAutospacing="0" w:line="560" w:lineRule="exact"/>
        <w:ind w:firstLineChars="196" w:firstLine="578"/>
        <w:jc w:val="both"/>
        <w:rPr>
          <w:rFonts w:ascii="仿宋_GB2312" w:eastAsia="仿宋_GB2312" w:hAnsi="微软雅黑"/>
          <w:spacing w:val="7"/>
          <w:sz w:val="28"/>
          <w:szCs w:val="28"/>
        </w:rPr>
      </w:pPr>
      <w:r w:rsidRPr="00340340">
        <w:rPr>
          <w:rStyle w:val="a9"/>
          <w:rFonts w:ascii="仿宋_GB2312" w:eastAsia="仿宋_GB2312" w:hAnsi="微软雅黑" w:hint="eastAsia"/>
          <w:spacing w:val="7"/>
          <w:sz w:val="28"/>
          <w:szCs w:val="28"/>
        </w:rPr>
        <w:t>2、网上实物商品零售额增长21.7%，增速较1-4月份放缓0.5个百分点</w:t>
      </w:r>
    </w:p>
    <w:p w:rsidR="00457E90" w:rsidRPr="00340340" w:rsidRDefault="00457E90" w:rsidP="008C1192">
      <w:pPr>
        <w:pStyle w:val="a8"/>
        <w:widowControl w:val="0"/>
        <w:shd w:val="clear" w:color="auto" w:fill="FFFFFF"/>
        <w:adjustRightInd w:val="0"/>
        <w:snapToGrid w:val="0"/>
        <w:spacing w:before="0" w:beforeAutospacing="0" w:after="0" w:afterAutospacing="0" w:line="560" w:lineRule="exact"/>
        <w:ind w:firstLineChars="213" w:firstLine="626"/>
        <w:jc w:val="both"/>
        <w:rPr>
          <w:rFonts w:ascii="仿宋_GB2312" w:eastAsia="仿宋_GB2312" w:hAnsi="微软雅黑"/>
          <w:spacing w:val="7"/>
          <w:sz w:val="28"/>
          <w:szCs w:val="28"/>
        </w:rPr>
      </w:pPr>
      <w:r w:rsidRPr="00340340">
        <w:rPr>
          <w:rFonts w:ascii="仿宋_GB2312" w:eastAsia="仿宋_GB2312" w:hAnsi="微软雅黑" w:hint="eastAsia"/>
          <w:spacing w:val="7"/>
          <w:sz w:val="28"/>
          <w:szCs w:val="28"/>
        </w:rPr>
        <w:t>1-5月份网上实物商品零售额实现30415亿元，同比增长21.7%，增速较1-4月放缓0.5个百分点，对社会消费品零售总额增长的贡献率为44.9%，拉动社会消费品零售总额增长3.6个百分点，占社会消费品零售总额的比重达到18.9%。 其中，5月份网上实物商品零售额实现6482亿元，同比增长19.9%，增速环比放缓5.9个百分点。</w:t>
      </w:r>
    </w:p>
    <w:p w:rsidR="00457E90" w:rsidRPr="00340340" w:rsidRDefault="00457E90" w:rsidP="00732BAD">
      <w:pPr>
        <w:pStyle w:val="a8"/>
        <w:widowControl w:val="0"/>
        <w:shd w:val="clear" w:color="auto" w:fill="FFFFFF"/>
        <w:adjustRightInd w:val="0"/>
        <w:snapToGrid w:val="0"/>
        <w:spacing w:before="0" w:beforeAutospacing="0" w:after="0" w:afterAutospacing="0" w:line="560" w:lineRule="exact"/>
        <w:ind w:firstLineChars="196" w:firstLine="578"/>
        <w:jc w:val="both"/>
        <w:rPr>
          <w:rFonts w:ascii="仿宋_GB2312" w:eastAsia="仿宋_GB2312" w:hAnsi="微软雅黑"/>
          <w:spacing w:val="7"/>
          <w:sz w:val="28"/>
          <w:szCs w:val="28"/>
        </w:rPr>
      </w:pPr>
      <w:r w:rsidRPr="00340340">
        <w:rPr>
          <w:rStyle w:val="a9"/>
          <w:rFonts w:ascii="仿宋_GB2312" w:eastAsia="仿宋_GB2312" w:hAnsi="微软雅黑" w:hint="eastAsia"/>
          <w:spacing w:val="7"/>
          <w:sz w:val="28"/>
          <w:szCs w:val="28"/>
        </w:rPr>
        <w:t>3、实体店消费品零售额增长5.4%，增速较1-4月份提升0.2个百分点</w:t>
      </w:r>
    </w:p>
    <w:p w:rsidR="00457E90" w:rsidRPr="00340340" w:rsidRDefault="00457E90" w:rsidP="00DE510D">
      <w:pPr>
        <w:pStyle w:val="a8"/>
        <w:widowControl w:val="0"/>
        <w:shd w:val="clear" w:color="auto" w:fill="FFFFFF"/>
        <w:adjustRightInd w:val="0"/>
        <w:snapToGrid w:val="0"/>
        <w:spacing w:before="0" w:beforeAutospacing="0" w:after="0" w:afterAutospacing="0" w:line="560" w:lineRule="exact"/>
        <w:ind w:firstLineChars="162" w:firstLine="476"/>
        <w:jc w:val="both"/>
        <w:rPr>
          <w:rFonts w:ascii="仿宋_GB2312" w:eastAsia="仿宋_GB2312" w:hAnsi="微软雅黑"/>
          <w:spacing w:val="7"/>
          <w:sz w:val="28"/>
          <w:szCs w:val="28"/>
        </w:rPr>
      </w:pPr>
      <w:r w:rsidRPr="00340340">
        <w:rPr>
          <w:rFonts w:ascii="仿宋_GB2312" w:eastAsia="仿宋_GB2312" w:hAnsi="微软雅黑" w:hint="eastAsia"/>
          <w:spacing w:val="7"/>
          <w:sz w:val="28"/>
          <w:szCs w:val="28"/>
        </w:rPr>
        <w:t>据测算，1-5月份实体店消费品零售额增长5.4%，增速较1-4月份提升0.2个百分点。其中，5月份同比增长6.2%，增速环比大幅提升2.9个百分点。</w:t>
      </w:r>
    </w:p>
    <w:p w:rsidR="00457E90" w:rsidRPr="00340340" w:rsidRDefault="00457E90" w:rsidP="00732BAD">
      <w:pPr>
        <w:pStyle w:val="a8"/>
        <w:widowControl w:val="0"/>
        <w:shd w:val="clear" w:color="auto" w:fill="FFFFFF"/>
        <w:adjustRightInd w:val="0"/>
        <w:snapToGrid w:val="0"/>
        <w:spacing w:before="0" w:beforeAutospacing="0" w:after="0" w:afterAutospacing="0" w:line="560" w:lineRule="exact"/>
        <w:ind w:firstLineChars="196" w:firstLine="578"/>
        <w:jc w:val="both"/>
        <w:rPr>
          <w:rFonts w:ascii="仿宋_GB2312" w:eastAsia="仿宋_GB2312" w:hAnsi="微软雅黑"/>
          <w:spacing w:val="7"/>
          <w:sz w:val="28"/>
          <w:szCs w:val="28"/>
        </w:rPr>
      </w:pPr>
      <w:r w:rsidRPr="00340340">
        <w:rPr>
          <w:rStyle w:val="a9"/>
          <w:rFonts w:ascii="仿宋_GB2312" w:eastAsia="仿宋_GB2312" w:hAnsi="微软雅黑" w:hint="eastAsia"/>
          <w:spacing w:val="7"/>
          <w:sz w:val="28"/>
          <w:szCs w:val="28"/>
        </w:rPr>
        <w:t>4、餐饮收入和商品零售增速均回升</w:t>
      </w:r>
    </w:p>
    <w:p w:rsidR="00457E90" w:rsidRPr="00340340" w:rsidRDefault="00457E90" w:rsidP="008C1192">
      <w:pPr>
        <w:pStyle w:val="a8"/>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微软雅黑"/>
          <w:spacing w:val="7"/>
          <w:sz w:val="28"/>
          <w:szCs w:val="28"/>
          <w:shd w:val="clear" w:color="auto" w:fill="FFFFFF"/>
        </w:rPr>
      </w:pPr>
      <w:r w:rsidRPr="00340340">
        <w:rPr>
          <w:rFonts w:ascii="仿宋_GB2312" w:eastAsia="仿宋_GB2312" w:hAnsi="微软雅黑" w:hint="eastAsia"/>
          <w:spacing w:val="7"/>
          <w:sz w:val="28"/>
          <w:szCs w:val="28"/>
        </w:rPr>
        <w:t>1-5月份商品零售额实现143775亿元，累计增长8.0%，增速较1-4月份加快0.1个百分点。其中，5月份同比增长8.5%，增速环比提升1.5个百分点。</w:t>
      </w:r>
      <w:r w:rsidRPr="00340340">
        <w:rPr>
          <w:rFonts w:ascii="仿宋_GB2312" w:eastAsia="仿宋_GB2312" w:hAnsi="微软雅黑" w:hint="eastAsia"/>
          <w:spacing w:val="7"/>
          <w:sz w:val="28"/>
          <w:szCs w:val="28"/>
          <w:shd w:val="clear" w:color="auto" w:fill="FFFFFF"/>
        </w:rPr>
        <w:t>1-5月份餐饮收入实现17556亿元，</w:t>
      </w:r>
      <w:r w:rsidRPr="00340340">
        <w:rPr>
          <w:rFonts w:ascii="仿宋_GB2312" w:eastAsia="仿宋_GB2312" w:hAnsi="微软雅黑" w:hint="eastAsia"/>
          <w:spacing w:val="7"/>
          <w:sz w:val="28"/>
          <w:szCs w:val="28"/>
          <w:shd w:val="clear" w:color="auto" w:fill="FFFFFF"/>
        </w:rPr>
        <w:lastRenderedPageBreak/>
        <w:t>累计增长9.3%，增速与1-4月份持平。其中，5月份同比增长9.4%，增速环比提升0.9个百分点。</w:t>
      </w:r>
    </w:p>
    <w:p w:rsidR="00457E90" w:rsidRPr="00340340" w:rsidRDefault="00457E90" w:rsidP="00732BAD">
      <w:pPr>
        <w:pStyle w:val="a8"/>
        <w:widowControl w:val="0"/>
        <w:shd w:val="clear" w:color="auto" w:fill="FFFFFF"/>
        <w:adjustRightInd w:val="0"/>
        <w:snapToGrid w:val="0"/>
        <w:spacing w:before="0" w:beforeAutospacing="0" w:after="0" w:afterAutospacing="0" w:line="560" w:lineRule="exact"/>
        <w:ind w:firstLineChars="196" w:firstLine="582"/>
        <w:jc w:val="both"/>
        <w:rPr>
          <w:rFonts w:ascii="仿宋_GB2312" w:eastAsia="仿宋_GB2312" w:hAnsi="微软雅黑"/>
          <w:spacing w:val="8"/>
          <w:sz w:val="28"/>
          <w:szCs w:val="28"/>
        </w:rPr>
      </w:pPr>
      <w:r w:rsidRPr="00340340">
        <w:rPr>
          <w:rStyle w:val="a9"/>
          <w:rFonts w:ascii="仿宋_GB2312" w:eastAsia="仿宋_GB2312" w:hAnsi="微软雅黑" w:hint="eastAsia"/>
          <w:spacing w:val="8"/>
          <w:sz w:val="28"/>
          <w:szCs w:val="28"/>
        </w:rPr>
        <w:t>5、城镇、乡村消费品市场增速有所回升</w:t>
      </w:r>
    </w:p>
    <w:p w:rsidR="00457E90" w:rsidRPr="00340340" w:rsidRDefault="00457E90" w:rsidP="008C1192">
      <w:pPr>
        <w:pStyle w:val="a8"/>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微软雅黑"/>
          <w:spacing w:val="8"/>
          <w:sz w:val="28"/>
          <w:szCs w:val="28"/>
        </w:rPr>
      </w:pPr>
      <w:r w:rsidRPr="00340340">
        <w:rPr>
          <w:rFonts w:ascii="仿宋_GB2312" w:eastAsia="仿宋_GB2312" w:hAnsi="微软雅黑" w:hint="eastAsia"/>
          <w:spacing w:val="8"/>
          <w:sz w:val="28"/>
          <w:szCs w:val="28"/>
        </w:rPr>
        <w:t>1-5月份城镇消费品零售额实现137965亿元,累计增长8.0%，增速较1-4月份加快0.1个百分点。乡村消费品零售额实现23367亿元，累计增长8.9%，增速与1-4月份持平。其中，5月份城镇、乡村市场分别增长8.5%和9%，较上月分别加快1.4和1.2个百分点。</w:t>
      </w:r>
    </w:p>
    <w:p w:rsidR="00457E90" w:rsidRPr="00340340" w:rsidRDefault="00457E90" w:rsidP="00732BAD">
      <w:pPr>
        <w:pStyle w:val="a8"/>
        <w:widowControl w:val="0"/>
        <w:shd w:val="clear" w:color="auto" w:fill="FFFFFF"/>
        <w:adjustRightInd w:val="0"/>
        <w:snapToGrid w:val="0"/>
        <w:spacing w:before="0" w:beforeAutospacing="0" w:after="0" w:afterAutospacing="0" w:line="560" w:lineRule="exact"/>
        <w:ind w:firstLineChars="196" w:firstLine="578"/>
        <w:jc w:val="both"/>
        <w:rPr>
          <w:rFonts w:ascii="仿宋_GB2312" w:eastAsia="仿宋_GB2312" w:hAnsi="微软雅黑"/>
          <w:spacing w:val="7"/>
          <w:sz w:val="28"/>
          <w:szCs w:val="28"/>
        </w:rPr>
      </w:pPr>
      <w:r w:rsidRPr="00340340">
        <w:rPr>
          <w:rStyle w:val="a9"/>
          <w:rFonts w:ascii="仿宋_GB2312" w:eastAsia="仿宋_GB2312" w:hAnsi="微软雅黑" w:hint="eastAsia"/>
          <w:spacing w:val="7"/>
          <w:sz w:val="28"/>
          <w:szCs w:val="28"/>
        </w:rPr>
        <w:t>6、百家重点大型零售企业（以百货为主）零售额与上年同期持平</w:t>
      </w:r>
      <w:r w:rsidRPr="00340340">
        <w:rPr>
          <w:rStyle w:val="a9"/>
          <w:rFonts w:ascii="微软雅黑" w:eastAsia="仿宋_GB2312" w:hAnsi="微软雅黑" w:hint="eastAsia"/>
          <w:spacing w:val="7"/>
          <w:sz w:val="28"/>
          <w:szCs w:val="28"/>
        </w:rPr>
        <w:t>  </w:t>
      </w:r>
    </w:p>
    <w:p w:rsidR="00457E90" w:rsidRPr="00340340" w:rsidRDefault="00457E90" w:rsidP="008C1192">
      <w:pPr>
        <w:pStyle w:val="a8"/>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微软雅黑"/>
          <w:spacing w:val="7"/>
          <w:sz w:val="28"/>
          <w:szCs w:val="28"/>
        </w:rPr>
      </w:pPr>
      <w:r w:rsidRPr="00340340">
        <w:rPr>
          <w:rFonts w:ascii="仿宋_GB2312" w:eastAsia="仿宋_GB2312" w:hAnsi="微软雅黑" w:hint="eastAsia"/>
          <w:spacing w:val="7"/>
          <w:sz w:val="28"/>
          <w:szCs w:val="28"/>
        </w:rPr>
        <w:t>根据中华全国商业信息中心统计，1-5月份全国百家重点大型零售企业零售额与上年同期持平，增速较1-4月份提升0.7个百分点。其中，粮油食品类零售额累计增长3.4%，服装类商品零售额累计下降5.8%，化妆品类累计增长9.6%，日用品类累计增长0.8%，金银珠宝类零售额与上年同期持平，家用电器类商品零售额累计下降5.9%。</w:t>
      </w:r>
    </w:p>
    <w:p w:rsidR="00457E90" w:rsidRPr="00340340" w:rsidRDefault="00457E90" w:rsidP="00732BAD">
      <w:pPr>
        <w:pStyle w:val="a8"/>
        <w:widowControl w:val="0"/>
        <w:shd w:val="clear" w:color="auto" w:fill="FFFFFF"/>
        <w:adjustRightInd w:val="0"/>
        <w:snapToGrid w:val="0"/>
        <w:spacing w:before="0" w:beforeAutospacing="0" w:after="0" w:afterAutospacing="0" w:line="560" w:lineRule="exact"/>
        <w:ind w:firstLineChars="196" w:firstLine="578"/>
        <w:jc w:val="both"/>
        <w:rPr>
          <w:rFonts w:ascii="仿宋_GB2312" w:eastAsia="仿宋_GB2312" w:hAnsi="微软雅黑"/>
          <w:spacing w:val="7"/>
          <w:sz w:val="28"/>
          <w:szCs w:val="28"/>
        </w:rPr>
      </w:pPr>
      <w:r w:rsidRPr="00340340">
        <w:rPr>
          <w:rStyle w:val="a9"/>
          <w:rFonts w:ascii="仿宋_GB2312" w:eastAsia="仿宋_GB2312" w:hAnsi="微软雅黑" w:hint="eastAsia"/>
          <w:spacing w:val="7"/>
          <w:sz w:val="28"/>
          <w:szCs w:val="28"/>
        </w:rPr>
        <w:t>7、大众消费品市场平稳增长</w:t>
      </w:r>
    </w:p>
    <w:p w:rsidR="00457E90" w:rsidRPr="00340340" w:rsidRDefault="00457E90" w:rsidP="008C1192">
      <w:pPr>
        <w:pStyle w:val="a8"/>
        <w:widowControl w:val="0"/>
        <w:shd w:val="clear" w:color="auto" w:fill="FFFFFF"/>
        <w:adjustRightInd w:val="0"/>
        <w:snapToGrid w:val="0"/>
        <w:spacing w:before="0" w:beforeAutospacing="0" w:after="0" w:afterAutospacing="0" w:line="560" w:lineRule="exact"/>
        <w:ind w:firstLine="480"/>
        <w:jc w:val="both"/>
        <w:rPr>
          <w:rFonts w:ascii="仿宋_GB2312" w:eastAsia="仿宋_GB2312" w:hAnsi="微软雅黑"/>
          <w:spacing w:val="7"/>
          <w:sz w:val="28"/>
          <w:szCs w:val="28"/>
        </w:rPr>
      </w:pPr>
      <w:r w:rsidRPr="00340340">
        <w:rPr>
          <w:rFonts w:ascii="仿宋_GB2312" w:eastAsia="仿宋_GB2312" w:hAnsi="微软雅黑" w:hint="eastAsia"/>
          <w:spacing w:val="7"/>
          <w:sz w:val="28"/>
          <w:szCs w:val="28"/>
        </w:rPr>
        <w:t>据测算，1-5月份限额以下单位和个体户商品零售额实现89553亿元，累计增长10.9%，增速与1-4月份持平。限额以下单位和个体户商品零售额对商品零售总额增长的贡献率为82.3%，占商品零售总额的比重为62.3%。</w:t>
      </w:r>
    </w:p>
    <w:p w:rsidR="00457E90" w:rsidRPr="00340340" w:rsidRDefault="00457E90" w:rsidP="008C1192">
      <w:pPr>
        <w:pStyle w:val="a8"/>
        <w:widowControl w:val="0"/>
        <w:shd w:val="clear" w:color="auto" w:fill="FFFFFF"/>
        <w:adjustRightInd w:val="0"/>
        <w:snapToGrid w:val="0"/>
        <w:spacing w:before="0" w:beforeAutospacing="0" w:after="0" w:afterAutospacing="0" w:line="560" w:lineRule="exact"/>
        <w:ind w:firstLineChars="213" w:firstLine="626"/>
        <w:jc w:val="both"/>
        <w:rPr>
          <w:rFonts w:ascii="仿宋_GB2312" w:eastAsia="仿宋_GB2312" w:hAnsi="微软雅黑"/>
          <w:spacing w:val="7"/>
          <w:sz w:val="28"/>
          <w:szCs w:val="28"/>
          <w:shd w:val="clear" w:color="auto" w:fill="FFFFFF"/>
        </w:rPr>
      </w:pPr>
      <w:r w:rsidRPr="00340340">
        <w:rPr>
          <w:rFonts w:ascii="仿宋_GB2312" w:eastAsia="仿宋_GB2312" w:hAnsi="微软雅黑" w:hint="eastAsia"/>
          <w:spacing w:val="7"/>
          <w:sz w:val="28"/>
          <w:szCs w:val="28"/>
          <w:shd w:val="clear" w:color="auto" w:fill="FFFFFF"/>
        </w:rPr>
        <w:t>据测算，1-5月份限额以下单位和个体户餐饮收入实现</w:t>
      </w:r>
      <w:r w:rsidRPr="00340340">
        <w:rPr>
          <w:rFonts w:ascii="仿宋_GB2312" w:eastAsia="仿宋_GB2312" w:hAnsi="微软雅黑" w:hint="eastAsia"/>
          <w:spacing w:val="7"/>
          <w:sz w:val="28"/>
          <w:szCs w:val="28"/>
          <w:shd w:val="clear" w:color="auto" w:fill="FFFFFF"/>
        </w:rPr>
        <w:lastRenderedPageBreak/>
        <w:t>13854亿元，累计增长9.9%，增速与1-4月份基本持平。限额以下单位和个体户餐饮收入对餐饮收入总额增长的贡献率为83.6%，占餐饮收入总额的比重为78.9%。</w:t>
      </w:r>
    </w:p>
    <w:p w:rsidR="00457E90" w:rsidRPr="00340340" w:rsidRDefault="00457E90" w:rsidP="00732BAD">
      <w:pPr>
        <w:pStyle w:val="a8"/>
        <w:widowControl w:val="0"/>
        <w:shd w:val="clear" w:color="auto" w:fill="FFFFFF"/>
        <w:adjustRightInd w:val="0"/>
        <w:snapToGrid w:val="0"/>
        <w:spacing w:before="0" w:beforeAutospacing="0" w:after="0" w:afterAutospacing="0" w:line="560" w:lineRule="exact"/>
        <w:ind w:firstLineChars="196" w:firstLine="578"/>
        <w:jc w:val="both"/>
        <w:rPr>
          <w:rFonts w:ascii="仿宋_GB2312" w:eastAsia="仿宋_GB2312" w:hAnsi="微软雅黑"/>
          <w:spacing w:val="7"/>
          <w:sz w:val="28"/>
          <w:szCs w:val="28"/>
        </w:rPr>
      </w:pPr>
      <w:r w:rsidRPr="00340340">
        <w:rPr>
          <w:rStyle w:val="a9"/>
          <w:rFonts w:ascii="仿宋_GB2312" w:eastAsia="仿宋_GB2312" w:hAnsi="微软雅黑" w:hint="eastAsia"/>
          <w:spacing w:val="7"/>
          <w:sz w:val="28"/>
          <w:szCs w:val="28"/>
        </w:rPr>
        <w:t>8、居民消费价格上涨2.2%，涨幅较1-4月提高0.2个百分点</w:t>
      </w:r>
    </w:p>
    <w:p w:rsidR="00457E90" w:rsidRPr="00340340" w:rsidRDefault="00457E90" w:rsidP="008C1192">
      <w:pPr>
        <w:pStyle w:val="a8"/>
        <w:widowControl w:val="0"/>
        <w:shd w:val="clear" w:color="auto" w:fill="FFFFFF"/>
        <w:adjustRightInd w:val="0"/>
        <w:snapToGrid w:val="0"/>
        <w:spacing w:before="0" w:beforeAutospacing="0" w:after="0" w:afterAutospacing="0" w:line="560" w:lineRule="exact"/>
        <w:ind w:firstLineChars="213" w:firstLine="626"/>
        <w:jc w:val="both"/>
        <w:rPr>
          <w:rFonts w:ascii="微软雅黑" w:eastAsia="微软雅黑" w:hAnsi="微软雅黑"/>
          <w:spacing w:val="7"/>
          <w:sz w:val="28"/>
          <w:szCs w:val="28"/>
        </w:rPr>
      </w:pPr>
      <w:r w:rsidRPr="00340340">
        <w:rPr>
          <w:rFonts w:ascii="仿宋_GB2312" w:eastAsia="仿宋_GB2312" w:hAnsi="微软雅黑" w:hint="eastAsia"/>
          <w:spacing w:val="7"/>
          <w:sz w:val="28"/>
          <w:szCs w:val="28"/>
        </w:rPr>
        <w:t>1-5月份居民消费价格累计上涨2.2%，涨幅继续提升。其中食品价格同比上涨4%，涨幅较上年同期扩大2.6个百分点；非食品价格同比上涨1.7%，涨幅较同期回落0.5个百分点。消费品价格同比上涨2.2%，涨幅较同期扩大0.7个百分点；服务价格同比上涨2.1%，涨幅较上年同期回落0.7个百分点</w:t>
      </w:r>
      <w:r w:rsidRPr="00340340">
        <w:rPr>
          <w:rFonts w:ascii="微软雅黑" w:eastAsia="微软雅黑" w:hAnsi="微软雅黑" w:hint="eastAsia"/>
          <w:spacing w:val="7"/>
          <w:sz w:val="28"/>
          <w:szCs w:val="28"/>
        </w:rPr>
        <w:t>。</w:t>
      </w:r>
    </w:p>
    <w:p w:rsidR="005B46F2" w:rsidRPr="00340340" w:rsidRDefault="00457E90" w:rsidP="00F67F3A">
      <w:pPr>
        <w:pStyle w:val="a8"/>
        <w:widowControl w:val="0"/>
        <w:shd w:val="clear" w:color="auto" w:fill="FFFFFF"/>
        <w:spacing w:before="0" w:beforeAutospacing="0" w:after="0" w:afterAutospacing="0" w:line="560" w:lineRule="exact"/>
        <w:ind w:firstLine="480"/>
        <w:jc w:val="right"/>
        <w:rPr>
          <w:rFonts w:ascii="楷体" w:eastAsia="楷体" w:hAnsi="楷体"/>
          <w:sz w:val="28"/>
          <w:szCs w:val="28"/>
        </w:rPr>
      </w:pPr>
      <w:r w:rsidRPr="00340340">
        <w:rPr>
          <w:rFonts w:ascii="楷体" w:eastAsia="楷体" w:hAnsi="楷体" w:hint="eastAsia"/>
          <w:sz w:val="28"/>
          <w:szCs w:val="28"/>
        </w:rPr>
        <w:t>（信息部）</w:t>
      </w:r>
    </w:p>
    <w:p w:rsidR="00CC09D6" w:rsidRPr="00340340" w:rsidRDefault="00CC09D6" w:rsidP="00F67F3A">
      <w:pPr>
        <w:pStyle w:val="a8"/>
        <w:widowControl w:val="0"/>
        <w:shd w:val="clear" w:color="auto" w:fill="FFFFFF"/>
        <w:spacing w:before="0" w:beforeAutospacing="0" w:after="0" w:afterAutospacing="0" w:line="560" w:lineRule="exact"/>
        <w:ind w:firstLine="480"/>
        <w:jc w:val="right"/>
        <w:rPr>
          <w:rFonts w:ascii="微软雅黑" w:eastAsia="微软雅黑" w:hAnsi="微软雅黑"/>
          <w:spacing w:val="7"/>
          <w:sz w:val="21"/>
          <w:szCs w:val="21"/>
        </w:rPr>
      </w:pPr>
    </w:p>
    <w:p w:rsidR="00177F43" w:rsidRPr="00340340" w:rsidRDefault="003306BD" w:rsidP="00E35C4D">
      <w:pPr>
        <w:pStyle w:val="a8"/>
        <w:widowControl w:val="0"/>
        <w:shd w:val="clear" w:color="auto" w:fill="FFFFFF"/>
        <w:snapToGrid w:val="0"/>
        <w:spacing w:before="0" w:beforeAutospacing="0" w:after="0" w:afterAutospacing="0" w:line="550" w:lineRule="exact"/>
        <w:ind w:right="560"/>
        <w:rPr>
          <w:rFonts w:ascii="仿宋" w:eastAsia="仿宋" w:hAnsi="仿宋"/>
          <w:sz w:val="28"/>
          <w:szCs w:val="28"/>
        </w:rPr>
      </w:pPr>
      <w:r w:rsidRPr="00340340">
        <w:rPr>
          <w:rFonts w:ascii="仿宋" w:eastAsia="仿宋" w:hAnsi="仿宋"/>
          <w:noProof/>
          <w:sz w:val="28"/>
          <w:szCs w:val="28"/>
        </w:rPr>
        <w:pict>
          <v:shapetype id="_x0000_t32" coordsize="21600,21600" o:spt="32" o:oned="t" path="m,l21600,21600e" filled="f">
            <v:path arrowok="t" fillok="f" o:connecttype="none"/>
            <o:lock v:ext="edit" shapetype="t"/>
          </v:shapetype>
          <v:shape id="_x0000_s1030" type="#_x0000_t32" style="position:absolute;margin-left:-1pt;margin-top:20.85pt;width:412.65pt;height:0;z-index:251659264" o:connectortype="straight"/>
        </w:pict>
      </w:r>
    </w:p>
    <w:p w:rsidR="00E810CD" w:rsidRPr="00340340" w:rsidRDefault="00E810CD" w:rsidP="00A60966">
      <w:pPr>
        <w:widowControl w:val="0"/>
        <w:snapToGrid w:val="0"/>
        <w:spacing w:line="550" w:lineRule="exact"/>
        <w:rPr>
          <w:rFonts w:ascii="仿宋" w:eastAsia="仿宋" w:hAnsi="仿宋"/>
          <w:sz w:val="28"/>
          <w:szCs w:val="28"/>
        </w:rPr>
      </w:pPr>
      <w:r w:rsidRPr="00340340">
        <w:rPr>
          <w:rFonts w:ascii="仿宋" w:eastAsia="仿宋" w:hAnsi="仿宋" w:hint="eastAsia"/>
          <w:sz w:val="28"/>
          <w:szCs w:val="28"/>
        </w:rPr>
        <w:t>报：国资委，商务部，国家发改委，财政部，工业和信息化部，民</w:t>
      </w:r>
    </w:p>
    <w:p w:rsidR="00E810CD" w:rsidRPr="00340340" w:rsidRDefault="00E810CD" w:rsidP="00A60966">
      <w:pPr>
        <w:widowControl w:val="0"/>
        <w:snapToGrid w:val="0"/>
        <w:spacing w:line="550" w:lineRule="exact"/>
        <w:ind w:firstLineChars="200" w:firstLine="560"/>
        <w:rPr>
          <w:rFonts w:ascii="仿宋" w:eastAsia="仿宋" w:hAnsi="仿宋"/>
          <w:sz w:val="28"/>
          <w:szCs w:val="28"/>
        </w:rPr>
      </w:pPr>
      <w:r w:rsidRPr="00340340">
        <w:rPr>
          <w:rFonts w:ascii="仿宋" w:eastAsia="仿宋" w:hAnsi="仿宋" w:hint="eastAsia"/>
          <w:sz w:val="28"/>
          <w:szCs w:val="28"/>
        </w:rPr>
        <w:t>政部民间组织管理局，国资委直管协会。</w:t>
      </w:r>
    </w:p>
    <w:p w:rsidR="00E810CD" w:rsidRPr="00340340" w:rsidRDefault="00E810CD" w:rsidP="00A60966">
      <w:pPr>
        <w:widowControl w:val="0"/>
        <w:snapToGrid w:val="0"/>
        <w:spacing w:line="550" w:lineRule="exact"/>
        <w:ind w:left="560" w:hangingChars="200" w:hanging="560"/>
        <w:rPr>
          <w:rFonts w:ascii="仿宋" w:eastAsia="仿宋" w:hAnsi="仿宋"/>
          <w:sz w:val="28"/>
          <w:szCs w:val="28"/>
        </w:rPr>
      </w:pPr>
      <w:r w:rsidRPr="00340340">
        <w:rPr>
          <w:rFonts w:ascii="仿宋" w:eastAsia="仿宋" w:hAnsi="仿宋" w:hint="eastAsia"/>
          <w:sz w:val="28"/>
          <w:szCs w:val="28"/>
        </w:rPr>
        <w:t>送：会领导、兼职副会长，各省、市、自治区、计划单列市、副省级城市商业主管部门和商业联合会（协会），本会各理事单位。</w:t>
      </w:r>
    </w:p>
    <w:p w:rsidR="00E810CD" w:rsidRPr="00340340" w:rsidRDefault="00E810CD" w:rsidP="00A60966">
      <w:pPr>
        <w:widowControl w:val="0"/>
        <w:snapToGrid w:val="0"/>
        <w:spacing w:line="550" w:lineRule="exact"/>
        <w:ind w:left="560" w:hangingChars="200" w:hanging="560"/>
        <w:rPr>
          <w:rFonts w:ascii="仿宋" w:eastAsia="仿宋" w:hAnsi="仿宋"/>
          <w:sz w:val="28"/>
          <w:szCs w:val="28"/>
        </w:rPr>
      </w:pPr>
      <w:r w:rsidRPr="00340340">
        <w:rPr>
          <w:rFonts w:ascii="仿宋" w:eastAsia="仿宋" w:hAnsi="仿宋" w:hint="eastAsia"/>
          <w:sz w:val="28"/>
          <w:szCs w:val="28"/>
        </w:rPr>
        <w:t>发：本会各部门、分支机构、事业单位、代管协会。</w:t>
      </w:r>
    </w:p>
    <w:p w:rsidR="003B6000" w:rsidRPr="00340340" w:rsidRDefault="00AB335A" w:rsidP="00E74B84">
      <w:pPr>
        <w:rPr>
          <w:rFonts w:ascii="仿宋" w:eastAsia="仿宋" w:hAnsi="仿宋" w:cs="仿宋_GB2312"/>
          <w:sz w:val="28"/>
          <w:szCs w:val="28"/>
        </w:rPr>
      </w:pPr>
      <w:r w:rsidRPr="00340340">
        <w:rPr>
          <w:rFonts w:ascii="仿宋" w:eastAsia="仿宋" w:hAnsi="仿宋" w:hint="eastAsia"/>
          <w:sz w:val="28"/>
          <w:szCs w:val="28"/>
        </w:rPr>
        <w:t>联系电话、传真：</w:t>
      </w:r>
      <w:r w:rsidRPr="00340340">
        <w:rPr>
          <w:rFonts w:ascii="仿宋" w:eastAsia="仿宋" w:hAnsi="仿宋" w:cs="仿宋_GB2312" w:hint="eastAsia"/>
          <w:sz w:val="28"/>
          <w:szCs w:val="28"/>
        </w:rPr>
        <w:t>010—</w:t>
      </w:r>
      <w:r w:rsidR="00E74B84" w:rsidRPr="00340340">
        <w:rPr>
          <w:rFonts w:ascii="仿宋" w:eastAsia="仿宋" w:hAnsi="仿宋" w:cs="仿宋_GB2312"/>
          <w:sz w:val="28"/>
          <w:szCs w:val="28"/>
        </w:rPr>
        <w:t>85295021</w:t>
      </w:r>
    </w:p>
    <w:p w:rsidR="00AB335A" w:rsidRPr="00340340" w:rsidRDefault="00AB335A" w:rsidP="00A60966">
      <w:pPr>
        <w:widowControl w:val="0"/>
        <w:snapToGrid w:val="0"/>
        <w:spacing w:line="550" w:lineRule="exact"/>
        <w:ind w:left="560" w:hangingChars="200" w:hanging="560"/>
        <w:rPr>
          <w:rFonts w:ascii="仿宋" w:eastAsia="仿宋" w:hAnsi="仿宋"/>
          <w:sz w:val="28"/>
          <w:szCs w:val="28"/>
        </w:rPr>
      </w:pPr>
      <w:r w:rsidRPr="00340340">
        <w:rPr>
          <w:rFonts w:ascii="仿宋" w:eastAsia="仿宋" w:hAnsi="仿宋" w:hint="eastAsia"/>
          <w:sz w:val="28"/>
          <w:szCs w:val="28"/>
        </w:rPr>
        <w:t>联 系 人：</w:t>
      </w:r>
      <w:r w:rsidR="00E822CE" w:rsidRPr="00340340">
        <w:rPr>
          <w:rFonts w:ascii="仿宋" w:eastAsia="仿宋" w:hAnsi="仿宋" w:hint="eastAsia"/>
          <w:sz w:val="28"/>
          <w:szCs w:val="28"/>
        </w:rPr>
        <w:t>温照红</w:t>
      </w:r>
    </w:p>
    <w:p w:rsidR="00E810CD" w:rsidRPr="00340340" w:rsidRDefault="00E810CD" w:rsidP="00A60966">
      <w:pPr>
        <w:widowControl w:val="0"/>
        <w:snapToGrid w:val="0"/>
        <w:spacing w:line="550" w:lineRule="exact"/>
        <w:ind w:left="560" w:hangingChars="200" w:hanging="560"/>
        <w:rPr>
          <w:rFonts w:ascii="仿宋" w:eastAsia="仿宋" w:hAnsi="仿宋"/>
          <w:sz w:val="28"/>
          <w:szCs w:val="28"/>
        </w:rPr>
      </w:pPr>
      <w:r w:rsidRPr="00340340">
        <w:rPr>
          <w:rFonts w:ascii="仿宋" w:eastAsia="仿宋" w:hAnsi="仿宋" w:hint="eastAsia"/>
          <w:sz w:val="28"/>
          <w:szCs w:val="28"/>
        </w:rPr>
        <w:t>本刊邮箱：shxxc@vip.sina.com</w:t>
      </w:r>
    </w:p>
    <w:p w:rsidR="00A40B79" w:rsidRPr="00340340" w:rsidRDefault="00E810CD" w:rsidP="00A60966">
      <w:pPr>
        <w:widowControl w:val="0"/>
        <w:snapToGrid w:val="0"/>
        <w:spacing w:line="550" w:lineRule="exact"/>
        <w:ind w:left="560" w:hangingChars="200" w:hanging="560"/>
        <w:rPr>
          <w:rFonts w:ascii="仿宋" w:eastAsia="仿宋" w:hAnsi="仿宋"/>
          <w:sz w:val="28"/>
          <w:szCs w:val="28"/>
        </w:rPr>
      </w:pPr>
      <w:r w:rsidRPr="00340340">
        <w:rPr>
          <w:rFonts w:ascii="仿宋" w:eastAsia="仿宋" w:hAnsi="仿宋" w:hint="eastAsia"/>
          <w:sz w:val="28"/>
          <w:szCs w:val="28"/>
        </w:rPr>
        <w:t>商会网址：</w:t>
      </w:r>
      <w:hyperlink r:id="rId8" w:history="1">
        <w:r w:rsidRPr="00340340">
          <w:rPr>
            <w:rStyle w:val="a6"/>
            <w:rFonts w:ascii="仿宋" w:eastAsia="仿宋" w:hAnsi="仿宋" w:hint="eastAsia"/>
            <w:color w:val="auto"/>
            <w:sz w:val="28"/>
            <w:szCs w:val="28"/>
          </w:rPr>
          <w:t>www.cgcc.org.cn</w:t>
        </w:r>
      </w:hyperlink>
    </w:p>
    <w:sectPr w:rsidR="00A40B79" w:rsidRPr="00340340" w:rsidSect="006F0DD3">
      <w:footerReference w:type="even" r:id="rId9"/>
      <w:footerReference w:type="default" r:id="rId10"/>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6FE" w:rsidRDefault="00B766FE" w:rsidP="00D45AE2">
      <w:pPr>
        <w:ind w:firstLine="480"/>
      </w:pPr>
      <w:r>
        <w:separator/>
      </w:r>
    </w:p>
  </w:endnote>
  <w:endnote w:type="continuationSeparator" w:id="1">
    <w:p w:rsidR="00B766FE" w:rsidRDefault="00B766FE"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Lath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方正小标宋简体"/>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F0" w:rsidRDefault="003306BD">
    <w:pPr>
      <w:pStyle w:val="a4"/>
      <w:framePr w:wrap="around" w:vAnchor="text" w:hAnchor="margin" w:xAlign="right" w:y="5"/>
      <w:rPr>
        <w:rStyle w:val="a7"/>
      </w:rPr>
    </w:pPr>
    <w:r>
      <w:fldChar w:fldCharType="begin"/>
    </w:r>
    <w:r w:rsidR="006D0AF0">
      <w:rPr>
        <w:rStyle w:val="a7"/>
      </w:rPr>
      <w:instrText xml:space="preserve">PAGE  </w:instrText>
    </w:r>
    <w:r>
      <w:fldChar w:fldCharType="separate"/>
    </w:r>
    <w:r w:rsidR="006D0AF0">
      <w:rPr>
        <w:rStyle w:val="a7"/>
      </w:rPr>
      <w:t>1</w:t>
    </w:r>
    <w:r>
      <w:fldChar w:fldCharType="end"/>
    </w:r>
  </w:p>
  <w:p w:rsidR="006D0AF0" w:rsidRDefault="006D0AF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F0" w:rsidRDefault="006D0AF0">
    <w:pPr>
      <w:pStyle w:val="a4"/>
      <w:ind w:right="360"/>
      <w:jc w:val="center"/>
      <w:rPr>
        <w:sz w:val="28"/>
      </w:rPr>
    </w:pPr>
    <w:r>
      <w:rPr>
        <w:rStyle w:val="a7"/>
        <w:rFonts w:ascii="宋体" w:hAnsi="宋体" w:hint="eastAsia"/>
        <w:sz w:val="28"/>
      </w:rPr>
      <w:t xml:space="preserve">—  </w:t>
    </w:r>
    <w:r w:rsidR="003306BD">
      <w:rPr>
        <w:sz w:val="28"/>
      </w:rPr>
      <w:fldChar w:fldCharType="begin"/>
    </w:r>
    <w:r>
      <w:rPr>
        <w:rStyle w:val="a7"/>
        <w:sz w:val="28"/>
      </w:rPr>
      <w:instrText xml:space="preserve">PAGE  </w:instrText>
    </w:r>
    <w:r w:rsidR="003306BD">
      <w:rPr>
        <w:sz w:val="28"/>
      </w:rPr>
      <w:fldChar w:fldCharType="separate"/>
    </w:r>
    <w:r w:rsidR="00340340">
      <w:rPr>
        <w:rStyle w:val="a7"/>
        <w:noProof/>
        <w:sz w:val="28"/>
      </w:rPr>
      <w:t>1</w:t>
    </w:r>
    <w:r w:rsidR="003306BD">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6FE" w:rsidRDefault="00B766FE" w:rsidP="00D45AE2">
      <w:pPr>
        <w:ind w:firstLine="480"/>
      </w:pPr>
      <w:r>
        <w:separator/>
      </w:r>
    </w:p>
  </w:footnote>
  <w:footnote w:type="continuationSeparator" w:id="1">
    <w:p w:rsidR="00B766FE" w:rsidRDefault="00B766FE" w:rsidP="00D45AE2">
      <w:pPr>
        <w:ind w:firstLine="48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25EB1C9C"/>
    <w:multiLevelType w:val="singleLevel"/>
    <w:tmpl w:val="25EB1C9C"/>
    <w:lvl w:ilvl="0">
      <w:start w:val="1"/>
      <w:numFmt w:val="decimal"/>
      <w:lvlText w:val="%1."/>
      <w:lvlJc w:val="left"/>
      <w:pPr>
        <w:tabs>
          <w:tab w:val="num" w:pos="312"/>
        </w:tabs>
      </w:pPr>
    </w:lvl>
  </w:abstractNum>
  <w:abstractNum w:abstractNumId="9">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D360E24"/>
    <w:multiLevelType w:val="singleLevel"/>
    <w:tmpl w:val="2D360E24"/>
    <w:lvl w:ilvl="0">
      <w:start w:val="2"/>
      <w:numFmt w:val="chineseCounting"/>
      <w:suff w:val="nothing"/>
      <w:lvlText w:val="%1、"/>
      <w:lvlJc w:val="left"/>
      <w:rPr>
        <w:rFonts w:hint="eastAsia"/>
      </w:rPr>
    </w:lvl>
  </w:abstractNum>
  <w:abstractNum w:abstractNumId="11">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992A458"/>
    <w:multiLevelType w:val="singleLevel"/>
    <w:tmpl w:val="5992A458"/>
    <w:lvl w:ilvl="0">
      <w:start w:val="1"/>
      <w:numFmt w:val="chineseCounting"/>
      <w:suff w:val="nothing"/>
      <w:lvlText w:val="%1、"/>
      <w:lvlJc w:val="left"/>
    </w:lvl>
  </w:abstractNum>
  <w:abstractNum w:abstractNumId="13">
    <w:nsid w:val="5A4C8526"/>
    <w:multiLevelType w:val="singleLevel"/>
    <w:tmpl w:val="5A4C8526"/>
    <w:lvl w:ilvl="0">
      <w:start w:val="1"/>
      <w:numFmt w:val="decimal"/>
      <w:suff w:val="nothing"/>
      <w:lvlText w:val="%1、"/>
      <w:lvlJc w:val="left"/>
    </w:lvl>
  </w:abstractNum>
  <w:abstractNum w:abstractNumId="14">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6">
    <w:nsid w:val="7860335B"/>
    <w:multiLevelType w:val="singleLevel"/>
    <w:tmpl w:val="7860335B"/>
    <w:lvl w:ilvl="0">
      <w:start w:val="1"/>
      <w:numFmt w:val="chineseCounting"/>
      <w:suff w:val="nothing"/>
      <w:lvlText w:val="（%1）"/>
      <w:lvlJc w:val="left"/>
      <w:pPr>
        <w:ind w:left="480" w:firstLine="0"/>
      </w:pPr>
      <w:rPr>
        <w:rFonts w:hint="eastAsia"/>
      </w:rPr>
    </w:lvl>
  </w:abstractNum>
  <w:num w:numId="1">
    <w:abstractNumId w:val="9"/>
  </w:num>
  <w:num w:numId="2">
    <w:abstractNumId w:val="13"/>
  </w:num>
  <w:num w:numId="3">
    <w:abstractNumId w:val="7"/>
  </w:num>
  <w:num w:numId="4">
    <w:abstractNumId w:val="1"/>
  </w:num>
  <w:num w:numId="5">
    <w:abstractNumId w:val="14"/>
  </w:num>
  <w:num w:numId="6">
    <w:abstractNumId w:val="4"/>
  </w:num>
  <w:num w:numId="7">
    <w:abstractNumId w:val="3"/>
  </w:num>
  <w:num w:numId="8">
    <w:abstractNumId w:val="8"/>
  </w:num>
  <w:num w:numId="9">
    <w:abstractNumId w:val="2"/>
  </w:num>
  <w:num w:numId="10">
    <w:abstractNumId w:val="6"/>
  </w:num>
  <w:num w:numId="11">
    <w:abstractNumId w:val="12"/>
  </w:num>
  <w:num w:numId="12">
    <w:abstractNumId w:val="16"/>
  </w:num>
  <w:num w:numId="13">
    <w:abstractNumId w:val="10"/>
  </w:num>
  <w:num w:numId="14">
    <w:abstractNumId w:val="5"/>
  </w:num>
  <w:num w:numId="15">
    <w:abstractNumId w:val="0"/>
  </w:num>
  <w:num w:numId="16">
    <w:abstractNumId w:val="15"/>
  </w:num>
  <w:num w:numId="17">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18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30DD"/>
    <w:rsid w:val="0000546F"/>
    <w:rsid w:val="00005ED7"/>
    <w:rsid w:val="0000608B"/>
    <w:rsid w:val="00006BAA"/>
    <w:rsid w:val="00007C86"/>
    <w:rsid w:val="00007EEF"/>
    <w:rsid w:val="0001137A"/>
    <w:rsid w:val="00011A12"/>
    <w:rsid w:val="00011CA0"/>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30648"/>
    <w:rsid w:val="00031445"/>
    <w:rsid w:val="00031BFF"/>
    <w:rsid w:val="00031C30"/>
    <w:rsid w:val="00032567"/>
    <w:rsid w:val="0003395A"/>
    <w:rsid w:val="0003490C"/>
    <w:rsid w:val="00034F31"/>
    <w:rsid w:val="0003535B"/>
    <w:rsid w:val="00035760"/>
    <w:rsid w:val="00035ABB"/>
    <w:rsid w:val="00037EC0"/>
    <w:rsid w:val="00040349"/>
    <w:rsid w:val="00040E6C"/>
    <w:rsid w:val="00041352"/>
    <w:rsid w:val="00041A30"/>
    <w:rsid w:val="00041B2A"/>
    <w:rsid w:val="00042DB7"/>
    <w:rsid w:val="000430E0"/>
    <w:rsid w:val="00043DB1"/>
    <w:rsid w:val="000446E1"/>
    <w:rsid w:val="00044968"/>
    <w:rsid w:val="000464D7"/>
    <w:rsid w:val="0004658B"/>
    <w:rsid w:val="000475E2"/>
    <w:rsid w:val="0004767B"/>
    <w:rsid w:val="00047C1E"/>
    <w:rsid w:val="00047EFB"/>
    <w:rsid w:val="000506CC"/>
    <w:rsid w:val="000519B1"/>
    <w:rsid w:val="00052861"/>
    <w:rsid w:val="00052A5F"/>
    <w:rsid w:val="00052BDC"/>
    <w:rsid w:val="00052BED"/>
    <w:rsid w:val="000530A6"/>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4649"/>
    <w:rsid w:val="00074AA7"/>
    <w:rsid w:val="00075D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788"/>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4113"/>
    <w:rsid w:val="000B42B3"/>
    <w:rsid w:val="000B4E9C"/>
    <w:rsid w:val="000B5FD3"/>
    <w:rsid w:val="000B6C98"/>
    <w:rsid w:val="000B7E9F"/>
    <w:rsid w:val="000B7F0D"/>
    <w:rsid w:val="000C1379"/>
    <w:rsid w:val="000C159B"/>
    <w:rsid w:val="000C16E1"/>
    <w:rsid w:val="000C1C31"/>
    <w:rsid w:val="000C1C48"/>
    <w:rsid w:val="000C2D69"/>
    <w:rsid w:val="000C34AA"/>
    <w:rsid w:val="000C3C58"/>
    <w:rsid w:val="000C42EE"/>
    <w:rsid w:val="000C4AA8"/>
    <w:rsid w:val="000C4C95"/>
    <w:rsid w:val="000C51C3"/>
    <w:rsid w:val="000C5643"/>
    <w:rsid w:val="000C62FC"/>
    <w:rsid w:val="000C7F97"/>
    <w:rsid w:val="000D0500"/>
    <w:rsid w:val="000D089F"/>
    <w:rsid w:val="000D1374"/>
    <w:rsid w:val="000D1C7F"/>
    <w:rsid w:val="000D21FD"/>
    <w:rsid w:val="000D220D"/>
    <w:rsid w:val="000D2238"/>
    <w:rsid w:val="000D37BB"/>
    <w:rsid w:val="000D3AD8"/>
    <w:rsid w:val="000D41CE"/>
    <w:rsid w:val="000D440B"/>
    <w:rsid w:val="000D5A75"/>
    <w:rsid w:val="000D6028"/>
    <w:rsid w:val="000D67B4"/>
    <w:rsid w:val="000D6B2B"/>
    <w:rsid w:val="000E0B6F"/>
    <w:rsid w:val="000E1851"/>
    <w:rsid w:val="000E1C23"/>
    <w:rsid w:val="000E1EDB"/>
    <w:rsid w:val="000E20FA"/>
    <w:rsid w:val="000E276E"/>
    <w:rsid w:val="000E3639"/>
    <w:rsid w:val="000E37C9"/>
    <w:rsid w:val="000E5276"/>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1BD8"/>
    <w:rsid w:val="001221D9"/>
    <w:rsid w:val="00122254"/>
    <w:rsid w:val="0012266B"/>
    <w:rsid w:val="00122B04"/>
    <w:rsid w:val="00122E6C"/>
    <w:rsid w:val="00123311"/>
    <w:rsid w:val="001246CE"/>
    <w:rsid w:val="0012525E"/>
    <w:rsid w:val="00125811"/>
    <w:rsid w:val="00125C9F"/>
    <w:rsid w:val="001262A1"/>
    <w:rsid w:val="00126568"/>
    <w:rsid w:val="00126A24"/>
    <w:rsid w:val="001271CD"/>
    <w:rsid w:val="00130196"/>
    <w:rsid w:val="00130E93"/>
    <w:rsid w:val="0013131F"/>
    <w:rsid w:val="001314ED"/>
    <w:rsid w:val="00133325"/>
    <w:rsid w:val="00134E13"/>
    <w:rsid w:val="00134EAA"/>
    <w:rsid w:val="00136890"/>
    <w:rsid w:val="0013689D"/>
    <w:rsid w:val="00136DEE"/>
    <w:rsid w:val="00136F86"/>
    <w:rsid w:val="00141C86"/>
    <w:rsid w:val="00141D1F"/>
    <w:rsid w:val="00141D26"/>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FCA"/>
    <w:rsid w:val="0016317B"/>
    <w:rsid w:val="00163529"/>
    <w:rsid w:val="00163C8C"/>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7F43"/>
    <w:rsid w:val="00180628"/>
    <w:rsid w:val="001826FD"/>
    <w:rsid w:val="0018563E"/>
    <w:rsid w:val="00185D10"/>
    <w:rsid w:val="00186AC6"/>
    <w:rsid w:val="001872F4"/>
    <w:rsid w:val="0018749D"/>
    <w:rsid w:val="00187BE0"/>
    <w:rsid w:val="00190851"/>
    <w:rsid w:val="00191608"/>
    <w:rsid w:val="001928ED"/>
    <w:rsid w:val="00194566"/>
    <w:rsid w:val="001952F8"/>
    <w:rsid w:val="00196D02"/>
    <w:rsid w:val="001A0105"/>
    <w:rsid w:val="001A1C76"/>
    <w:rsid w:val="001A2096"/>
    <w:rsid w:val="001A25AA"/>
    <w:rsid w:val="001A308C"/>
    <w:rsid w:val="001A65AC"/>
    <w:rsid w:val="001A6D13"/>
    <w:rsid w:val="001B1440"/>
    <w:rsid w:val="001B176D"/>
    <w:rsid w:val="001B1CC3"/>
    <w:rsid w:val="001B24E8"/>
    <w:rsid w:val="001B24FF"/>
    <w:rsid w:val="001B2665"/>
    <w:rsid w:val="001B3D9C"/>
    <w:rsid w:val="001B595A"/>
    <w:rsid w:val="001B5E4B"/>
    <w:rsid w:val="001B637E"/>
    <w:rsid w:val="001B7E34"/>
    <w:rsid w:val="001C0546"/>
    <w:rsid w:val="001C4144"/>
    <w:rsid w:val="001C466B"/>
    <w:rsid w:val="001C5512"/>
    <w:rsid w:val="001C6616"/>
    <w:rsid w:val="001D0157"/>
    <w:rsid w:val="001D0B2C"/>
    <w:rsid w:val="001D1D2E"/>
    <w:rsid w:val="001D3665"/>
    <w:rsid w:val="001D3709"/>
    <w:rsid w:val="001D38F0"/>
    <w:rsid w:val="001D5E9F"/>
    <w:rsid w:val="001D6C7C"/>
    <w:rsid w:val="001D7926"/>
    <w:rsid w:val="001E02AB"/>
    <w:rsid w:val="001E04DF"/>
    <w:rsid w:val="001E1E5D"/>
    <w:rsid w:val="001E2012"/>
    <w:rsid w:val="001E5483"/>
    <w:rsid w:val="001E56E9"/>
    <w:rsid w:val="001E5E97"/>
    <w:rsid w:val="001E6F71"/>
    <w:rsid w:val="001E7D59"/>
    <w:rsid w:val="001F0DAD"/>
    <w:rsid w:val="001F0DE2"/>
    <w:rsid w:val="001F123E"/>
    <w:rsid w:val="001F2FCA"/>
    <w:rsid w:val="001F33A4"/>
    <w:rsid w:val="001F38DA"/>
    <w:rsid w:val="001F5CE1"/>
    <w:rsid w:val="001F6C85"/>
    <w:rsid w:val="001F7501"/>
    <w:rsid w:val="001F76D7"/>
    <w:rsid w:val="0020024B"/>
    <w:rsid w:val="002009DA"/>
    <w:rsid w:val="002015DD"/>
    <w:rsid w:val="0020263E"/>
    <w:rsid w:val="0020330D"/>
    <w:rsid w:val="002037EE"/>
    <w:rsid w:val="00204FEF"/>
    <w:rsid w:val="00205355"/>
    <w:rsid w:val="00206AEC"/>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528"/>
    <w:rsid w:val="00216BA2"/>
    <w:rsid w:val="002173E6"/>
    <w:rsid w:val="00217B79"/>
    <w:rsid w:val="00217F8E"/>
    <w:rsid w:val="00221BDF"/>
    <w:rsid w:val="0022270A"/>
    <w:rsid w:val="00223020"/>
    <w:rsid w:val="0022346D"/>
    <w:rsid w:val="00224F82"/>
    <w:rsid w:val="002258C2"/>
    <w:rsid w:val="00225A10"/>
    <w:rsid w:val="00225CED"/>
    <w:rsid w:val="00225F7B"/>
    <w:rsid w:val="002262EC"/>
    <w:rsid w:val="00226695"/>
    <w:rsid w:val="002268EF"/>
    <w:rsid w:val="002271DB"/>
    <w:rsid w:val="002278EA"/>
    <w:rsid w:val="0023037F"/>
    <w:rsid w:val="0023052B"/>
    <w:rsid w:val="00230576"/>
    <w:rsid w:val="00231411"/>
    <w:rsid w:val="0023155A"/>
    <w:rsid w:val="002317F7"/>
    <w:rsid w:val="00231D28"/>
    <w:rsid w:val="002322EA"/>
    <w:rsid w:val="00232A33"/>
    <w:rsid w:val="002334C1"/>
    <w:rsid w:val="002336E9"/>
    <w:rsid w:val="00235D94"/>
    <w:rsid w:val="002361AA"/>
    <w:rsid w:val="0023641D"/>
    <w:rsid w:val="0023679C"/>
    <w:rsid w:val="00236804"/>
    <w:rsid w:val="00236F40"/>
    <w:rsid w:val="00237A1B"/>
    <w:rsid w:val="00237C81"/>
    <w:rsid w:val="0024029B"/>
    <w:rsid w:val="00241146"/>
    <w:rsid w:val="00243201"/>
    <w:rsid w:val="00244CA5"/>
    <w:rsid w:val="002455DD"/>
    <w:rsid w:val="00246D19"/>
    <w:rsid w:val="00246E63"/>
    <w:rsid w:val="00247F49"/>
    <w:rsid w:val="0025054C"/>
    <w:rsid w:val="00251A14"/>
    <w:rsid w:val="00251FEE"/>
    <w:rsid w:val="00253FF0"/>
    <w:rsid w:val="00255088"/>
    <w:rsid w:val="002558A6"/>
    <w:rsid w:val="00255C8C"/>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70524"/>
    <w:rsid w:val="00272007"/>
    <w:rsid w:val="00272292"/>
    <w:rsid w:val="0027342B"/>
    <w:rsid w:val="00273558"/>
    <w:rsid w:val="00273E0F"/>
    <w:rsid w:val="00273E76"/>
    <w:rsid w:val="002745B9"/>
    <w:rsid w:val="0027540C"/>
    <w:rsid w:val="002760BD"/>
    <w:rsid w:val="00276FCF"/>
    <w:rsid w:val="00277461"/>
    <w:rsid w:val="002800EE"/>
    <w:rsid w:val="002815D6"/>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424B"/>
    <w:rsid w:val="002949EB"/>
    <w:rsid w:val="00294C6C"/>
    <w:rsid w:val="00296017"/>
    <w:rsid w:val="002A1C87"/>
    <w:rsid w:val="002A1CB6"/>
    <w:rsid w:val="002A20A2"/>
    <w:rsid w:val="002A39CB"/>
    <w:rsid w:val="002A4198"/>
    <w:rsid w:val="002A5229"/>
    <w:rsid w:val="002A5281"/>
    <w:rsid w:val="002A5940"/>
    <w:rsid w:val="002A5C96"/>
    <w:rsid w:val="002A63C1"/>
    <w:rsid w:val="002A6541"/>
    <w:rsid w:val="002A6586"/>
    <w:rsid w:val="002A72CE"/>
    <w:rsid w:val="002B047B"/>
    <w:rsid w:val="002B08C8"/>
    <w:rsid w:val="002B0A71"/>
    <w:rsid w:val="002B0D28"/>
    <w:rsid w:val="002B10B0"/>
    <w:rsid w:val="002B1D2A"/>
    <w:rsid w:val="002B20D5"/>
    <w:rsid w:val="002B2B6B"/>
    <w:rsid w:val="002B2DEE"/>
    <w:rsid w:val="002B345B"/>
    <w:rsid w:val="002B3A4F"/>
    <w:rsid w:val="002B4A6C"/>
    <w:rsid w:val="002B4D2C"/>
    <w:rsid w:val="002B4E2A"/>
    <w:rsid w:val="002B53D1"/>
    <w:rsid w:val="002B5C29"/>
    <w:rsid w:val="002B5FD5"/>
    <w:rsid w:val="002B6AA8"/>
    <w:rsid w:val="002B6B10"/>
    <w:rsid w:val="002C20EA"/>
    <w:rsid w:val="002C2194"/>
    <w:rsid w:val="002C3355"/>
    <w:rsid w:val="002C3989"/>
    <w:rsid w:val="002C3D3D"/>
    <w:rsid w:val="002C407E"/>
    <w:rsid w:val="002C4281"/>
    <w:rsid w:val="002C4427"/>
    <w:rsid w:val="002C45AE"/>
    <w:rsid w:val="002C6BE5"/>
    <w:rsid w:val="002C7379"/>
    <w:rsid w:val="002D2034"/>
    <w:rsid w:val="002D2E19"/>
    <w:rsid w:val="002D4832"/>
    <w:rsid w:val="002D4A13"/>
    <w:rsid w:val="002D5EFE"/>
    <w:rsid w:val="002E022B"/>
    <w:rsid w:val="002E0AF7"/>
    <w:rsid w:val="002E34FE"/>
    <w:rsid w:val="002E4F5F"/>
    <w:rsid w:val="002E6FAB"/>
    <w:rsid w:val="002E78B4"/>
    <w:rsid w:val="002E7D9F"/>
    <w:rsid w:val="002F073B"/>
    <w:rsid w:val="002F0B1B"/>
    <w:rsid w:val="002F0D3C"/>
    <w:rsid w:val="002F16DB"/>
    <w:rsid w:val="002F1BA8"/>
    <w:rsid w:val="002F45BB"/>
    <w:rsid w:val="002F51DB"/>
    <w:rsid w:val="002F52D6"/>
    <w:rsid w:val="002F6A7E"/>
    <w:rsid w:val="00300532"/>
    <w:rsid w:val="00300677"/>
    <w:rsid w:val="00300B30"/>
    <w:rsid w:val="0030102A"/>
    <w:rsid w:val="003038E5"/>
    <w:rsid w:val="00304004"/>
    <w:rsid w:val="003045E2"/>
    <w:rsid w:val="003049CE"/>
    <w:rsid w:val="00305DD5"/>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3056E"/>
    <w:rsid w:val="0033069A"/>
    <w:rsid w:val="003306BD"/>
    <w:rsid w:val="00330C53"/>
    <w:rsid w:val="00330EDB"/>
    <w:rsid w:val="00331B83"/>
    <w:rsid w:val="00332B74"/>
    <w:rsid w:val="003337EC"/>
    <w:rsid w:val="00335CC7"/>
    <w:rsid w:val="00335F84"/>
    <w:rsid w:val="003361C2"/>
    <w:rsid w:val="00336544"/>
    <w:rsid w:val="00336611"/>
    <w:rsid w:val="00336754"/>
    <w:rsid w:val="00340340"/>
    <w:rsid w:val="00340CE3"/>
    <w:rsid w:val="00341727"/>
    <w:rsid w:val="0034213A"/>
    <w:rsid w:val="003429F7"/>
    <w:rsid w:val="0034461F"/>
    <w:rsid w:val="00344A3F"/>
    <w:rsid w:val="00346C58"/>
    <w:rsid w:val="00347B1D"/>
    <w:rsid w:val="00351B02"/>
    <w:rsid w:val="00351E1B"/>
    <w:rsid w:val="0035256F"/>
    <w:rsid w:val="0035319A"/>
    <w:rsid w:val="00354888"/>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80A6F"/>
    <w:rsid w:val="003810F0"/>
    <w:rsid w:val="003840C5"/>
    <w:rsid w:val="003843BE"/>
    <w:rsid w:val="00384D89"/>
    <w:rsid w:val="00386E71"/>
    <w:rsid w:val="003873B9"/>
    <w:rsid w:val="0038741F"/>
    <w:rsid w:val="00387675"/>
    <w:rsid w:val="0038768F"/>
    <w:rsid w:val="00387B56"/>
    <w:rsid w:val="0039143D"/>
    <w:rsid w:val="003952D5"/>
    <w:rsid w:val="00395330"/>
    <w:rsid w:val="003953F0"/>
    <w:rsid w:val="00395D75"/>
    <w:rsid w:val="00395E1E"/>
    <w:rsid w:val="00397E89"/>
    <w:rsid w:val="003A01D7"/>
    <w:rsid w:val="003A1290"/>
    <w:rsid w:val="003A27BA"/>
    <w:rsid w:val="003A3E17"/>
    <w:rsid w:val="003A4F30"/>
    <w:rsid w:val="003A6481"/>
    <w:rsid w:val="003A676A"/>
    <w:rsid w:val="003A762B"/>
    <w:rsid w:val="003B0C35"/>
    <w:rsid w:val="003B13E6"/>
    <w:rsid w:val="003B1C8A"/>
    <w:rsid w:val="003B2FAF"/>
    <w:rsid w:val="003B364D"/>
    <w:rsid w:val="003B4A43"/>
    <w:rsid w:val="003B4DD3"/>
    <w:rsid w:val="003B4FAD"/>
    <w:rsid w:val="003B6000"/>
    <w:rsid w:val="003B641D"/>
    <w:rsid w:val="003C30E4"/>
    <w:rsid w:val="003C3A24"/>
    <w:rsid w:val="003C5C78"/>
    <w:rsid w:val="003D0D49"/>
    <w:rsid w:val="003D1779"/>
    <w:rsid w:val="003D2B4C"/>
    <w:rsid w:val="003D33BB"/>
    <w:rsid w:val="003D390C"/>
    <w:rsid w:val="003D4667"/>
    <w:rsid w:val="003D4920"/>
    <w:rsid w:val="003D493A"/>
    <w:rsid w:val="003D531B"/>
    <w:rsid w:val="003D5BB4"/>
    <w:rsid w:val="003D64E0"/>
    <w:rsid w:val="003D6585"/>
    <w:rsid w:val="003E11E9"/>
    <w:rsid w:val="003E12AC"/>
    <w:rsid w:val="003E16DC"/>
    <w:rsid w:val="003E25D1"/>
    <w:rsid w:val="003E3B1B"/>
    <w:rsid w:val="003E43CA"/>
    <w:rsid w:val="003E4B8F"/>
    <w:rsid w:val="003E6609"/>
    <w:rsid w:val="003E7DCA"/>
    <w:rsid w:val="003F0B37"/>
    <w:rsid w:val="003F1899"/>
    <w:rsid w:val="003F2533"/>
    <w:rsid w:val="003F26F7"/>
    <w:rsid w:val="003F2B64"/>
    <w:rsid w:val="003F3737"/>
    <w:rsid w:val="003F5824"/>
    <w:rsid w:val="003F5C9B"/>
    <w:rsid w:val="003F6C09"/>
    <w:rsid w:val="003F7A2C"/>
    <w:rsid w:val="00400A89"/>
    <w:rsid w:val="00400DBE"/>
    <w:rsid w:val="00401177"/>
    <w:rsid w:val="00401F63"/>
    <w:rsid w:val="00403AD9"/>
    <w:rsid w:val="004055EB"/>
    <w:rsid w:val="00405FDC"/>
    <w:rsid w:val="004065C7"/>
    <w:rsid w:val="004069DC"/>
    <w:rsid w:val="00407BA2"/>
    <w:rsid w:val="004111E2"/>
    <w:rsid w:val="00411D3B"/>
    <w:rsid w:val="00412BA7"/>
    <w:rsid w:val="0041674B"/>
    <w:rsid w:val="00416B10"/>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6251"/>
    <w:rsid w:val="004264A5"/>
    <w:rsid w:val="004265C3"/>
    <w:rsid w:val="00426663"/>
    <w:rsid w:val="0043012D"/>
    <w:rsid w:val="0043097B"/>
    <w:rsid w:val="00430CD6"/>
    <w:rsid w:val="004312C1"/>
    <w:rsid w:val="00432353"/>
    <w:rsid w:val="00432B89"/>
    <w:rsid w:val="00432BE6"/>
    <w:rsid w:val="00434B9F"/>
    <w:rsid w:val="00435B74"/>
    <w:rsid w:val="00437C31"/>
    <w:rsid w:val="00437C93"/>
    <w:rsid w:val="00440A72"/>
    <w:rsid w:val="00441DAE"/>
    <w:rsid w:val="00442078"/>
    <w:rsid w:val="0044290C"/>
    <w:rsid w:val="004429E1"/>
    <w:rsid w:val="00442F82"/>
    <w:rsid w:val="00443639"/>
    <w:rsid w:val="004444C6"/>
    <w:rsid w:val="00445A89"/>
    <w:rsid w:val="004464B2"/>
    <w:rsid w:val="0044758B"/>
    <w:rsid w:val="00447A56"/>
    <w:rsid w:val="004502FA"/>
    <w:rsid w:val="00450371"/>
    <w:rsid w:val="00450C05"/>
    <w:rsid w:val="00453E95"/>
    <w:rsid w:val="00454B07"/>
    <w:rsid w:val="004551E7"/>
    <w:rsid w:val="00457E90"/>
    <w:rsid w:val="00457FAF"/>
    <w:rsid w:val="004608B1"/>
    <w:rsid w:val="00461DA4"/>
    <w:rsid w:val="004623C5"/>
    <w:rsid w:val="0046260C"/>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11E4"/>
    <w:rsid w:val="0048156B"/>
    <w:rsid w:val="00481961"/>
    <w:rsid w:val="0048268B"/>
    <w:rsid w:val="00482BAF"/>
    <w:rsid w:val="0048391D"/>
    <w:rsid w:val="0048674F"/>
    <w:rsid w:val="004869BF"/>
    <w:rsid w:val="0048758C"/>
    <w:rsid w:val="0049019C"/>
    <w:rsid w:val="004903B6"/>
    <w:rsid w:val="00491FFA"/>
    <w:rsid w:val="00493B2A"/>
    <w:rsid w:val="00493BC3"/>
    <w:rsid w:val="00493C6B"/>
    <w:rsid w:val="00494288"/>
    <w:rsid w:val="004952EA"/>
    <w:rsid w:val="00495840"/>
    <w:rsid w:val="004977ED"/>
    <w:rsid w:val="004A189F"/>
    <w:rsid w:val="004A2406"/>
    <w:rsid w:val="004A29D1"/>
    <w:rsid w:val="004A344F"/>
    <w:rsid w:val="004A4ACA"/>
    <w:rsid w:val="004A4BA4"/>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C0CAA"/>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C0E"/>
    <w:rsid w:val="004E0D12"/>
    <w:rsid w:val="004E2F3B"/>
    <w:rsid w:val="004E3197"/>
    <w:rsid w:val="004E458B"/>
    <w:rsid w:val="004E4CF5"/>
    <w:rsid w:val="004E5E77"/>
    <w:rsid w:val="004E629F"/>
    <w:rsid w:val="004E6519"/>
    <w:rsid w:val="004E75D0"/>
    <w:rsid w:val="004F1B49"/>
    <w:rsid w:val="004F391F"/>
    <w:rsid w:val="004F4DB4"/>
    <w:rsid w:val="004F50EF"/>
    <w:rsid w:val="004F5CED"/>
    <w:rsid w:val="004F5DD0"/>
    <w:rsid w:val="004F6B3E"/>
    <w:rsid w:val="004F7ECC"/>
    <w:rsid w:val="00500867"/>
    <w:rsid w:val="00500B9F"/>
    <w:rsid w:val="00500D06"/>
    <w:rsid w:val="00500D34"/>
    <w:rsid w:val="00501283"/>
    <w:rsid w:val="00501404"/>
    <w:rsid w:val="0050250B"/>
    <w:rsid w:val="00503B3A"/>
    <w:rsid w:val="00503F0A"/>
    <w:rsid w:val="005044F0"/>
    <w:rsid w:val="00504933"/>
    <w:rsid w:val="00504A53"/>
    <w:rsid w:val="00505849"/>
    <w:rsid w:val="0050618A"/>
    <w:rsid w:val="005065D5"/>
    <w:rsid w:val="00506860"/>
    <w:rsid w:val="00506E26"/>
    <w:rsid w:val="00506E8C"/>
    <w:rsid w:val="00506FE8"/>
    <w:rsid w:val="00507DC3"/>
    <w:rsid w:val="00507F14"/>
    <w:rsid w:val="00511395"/>
    <w:rsid w:val="00512932"/>
    <w:rsid w:val="005129AF"/>
    <w:rsid w:val="00513EAF"/>
    <w:rsid w:val="005141A9"/>
    <w:rsid w:val="005150A8"/>
    <w:rsid w:val="0051574B"/>
    <w:rsid w:val="005157C4"/>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53B7"/>
    <w:rsid w:val="0053621E"/>
    <w:rsid w:val="00536B41"/>
    <w:rsid w:val="00536E35"/>
    <w:rsid w:val="00536F87"/>
    <w:rsid w:val="00537E12"/>
    <w:rsid w:val="00537E26"/>
    <w:rsid w:val="00542172"/>
    <w:rsid w:val="005430AB"/>
    <w:rsid w:val="00544231"/>
    <w:rsid w:val="00545876"/>
    <w:rsid w:val="005466FF"/>
    <w:rsid w:val="00546C39"/>
    <w:rsid w:val="0054794F"/>
    <w:rsid w:val="005479AA"/>
    <w:rsid w:val="0055165F"/>
    <w:rsid w:val="00551845"/>
    <w:rsid w:val="00552EB6"/>
    <w:rsid w:val="005539C3"/>
    <w:rsid w:val="0055447B"/>
    <w:rsid w:val="0055459B"/>
    <w:rsid w:val="00555427"/>
    <w:rsid w:val="005575C3"/>
    <w:rsid w:val="00557F91"/>
    <w:rsid w:val="005601D3"/>
    <w:rsid w:val="00560360"/>
    <w:rsid w:val="00561889"/>
    <w:rsid w:val="0056308D"/>
    <w:rsid w:val="00563263"/>
    <w:rsid w:val="0056349C"/>
    <w:rsid w:val="00564CD1"/>
    <w:rsid w:val="00565CF8"/>
    <w:rsid w:val="005664F5"/>
    <w:rsid w:val="005665AB"/>
    <w:rsid w:val="005666EA"/>
    <w:rsid w:val="00566DE4"/>
    <w:rsid w:val="0056738D"/>
    <w:rsid w:val="005673BF"/>
    <w:rsid w:val="00567E0D"/>
    <w:rsid w:val="00572E6F"/>
    <w:rsid w:val="0057376D"/>
    <w:rsid w:val="0057427F"/>
    <w:rsid w:val="0057443B"/>
    <w:rsid w:val="00576357"/>
    <w:rsid w:val="0057752C"/>
    <w:rsid w:val="00577699"/>
    <w:rsid w:val="0057778C"/>
    <w:rsid w:val="00577F2E"/>
    <w:rsid w:val="005834F0"/>
    <w:rsid w:val="00584C16"/>
    <w:rsid w:val="00584D49"/>
    <w:rsid w:val="00585863"/>
    <w:rsid w:val="00586052"/>
    <w:rsid w:val="005868F7"/>
    <w:rsid w:val="00586CD7"/>
    <w:rsid w:val="00587589"/>
    <w:rsid w:val="00587DCE"/>
    <w:rsid w:val="00587ED9"/>
    <w:rsid w:val="005900F3"/>
    <w:rsid w:val="00590402"/>
    <w:rsid w:val="00590545"/>
    <w:rsid w:val="005915DA"/>
    <w:rsid w:val="005927DD"/>
    <w:rsid w:val="005927EA"/>
    <w:rsid w:val="00592DA0"/>
    <w:rsid w:val="00592FD8"/>
    <w:rsid w:val="0059553F"/>
    <w:rsid w:val="00595CF2"/>
    <w:rsid w:val="00597DD4"/>
    <w:rsid w:val="005A1783"/>
    <w:rsid w:val="005A193C"/>
    <w:rsid w:val="005A36CF"/>
    <w:rsid w:val="005A4087"/>
    <w:rsid w:val="005A4221"/>
    <w:rsid w:val="005A4C5B"/>
    <w:rsid w:val="005A4DCC"/>
    <w:rsid w:val="005A5E29"/>
    <w:rsid w:val="005A70BC"/>
    <w:rsid w:val="005A74C9"/>
    <w:rsid w:val="005B01A7"/>
    <w:rsid w:val="005B04B8"/>
    <w:rsid w:val="005B0BD4"/>
    <w:rsid w:val="005B1257"/>
    <w:rsid w:val="005B1A9D"/>
    <w:rsid w:val="005B1CEA"/>
    <w:rsid w:val="005B27BE"/>
    <w:rsid w:val="005B3356"/>
    <w:rsid w:val="005B38FC"/>
    <w:rsid w:val="005B46F2"/>
    <w:rsid w:val="005B7103"/>
    <w:rsid w:val="005B71F5"/>
    <w:rsid w:val="005B762E"/>
    <w:rsid w:val="005C0328"/>
    <w:rsid w:val="005C0FDA"/>
    <w:rsid w:val="005C1C6E"/>
    <w:rsid w:val="005C311C"/>
    <w:rsid w:val="005C38F9"/>
    <w:rsid w:val="005C3997"/>
    <w:rsid w:val="005C473E"/>
    <w:rsid w:val="005C5A4C"/>
    <w:rsid w:val="005C5B70"/>
    <w:rsid w:val="005D0D24"/>
    <w:rsid w:val="005D0D65"/>
    <w:rsid w:val="005D0EBA"/>
    <w:rsid w:val="005D0FE9"/>
    <w:rsid w:val="005D195B"/>
    <w:rsid w:val="005D26A8"/>
    <w:rsid w:val="005D2B4F"/>
    <w:rsid w:val="005D3C86"/>
    <w:rsid w:val="005D3EF0"/>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5642"/>
    <w:rsid w:val="005F6CCC"/>
    <w:rsid w:val="005F6FC1"/>
    <w:rsid w:val="006002DE"/>
    <w:rsid w:val="00600768"/>
    <w:rsid w:val="00600987"/>
    <w:rsid w:val="00601508"/>
    <w:rsid w:val="006020EA"/>
    <w:rsid w:val="00602F95"/>
    <w:rsid w:val="00603E47"/>
    <w:rsid w:val="006066EA"/>
    <w:rsid w:val="0060772F"/>
    <w:rsid w:val="00607840"/>
    <w:rsid w:val="00610ACF"/>
    <w:rsid w:val="006124BF"/>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B56"/>
    <w:rsid w:val="00636E51"/>
    <w:rsid w:val="0063704D"/>
    <w:rsid w:val="006373AD"/>
    <w:rsid w:val="00637C10"/>
    <w:rsid w:val="00641332"/>
    <w:rsid w:val="0064223B"/>
    <w:rsid w:val="006425A3"/>
    <w:rsid w:val="0064338E"/>
    <w:rsid w:val="00644CFA"/>
    <w:rsid w:val="00646E29"/>
    <w:rsid w:val="00647653"/>
    <w:rsid w:val="0064779C"/>
    <w:rsid w:val="006516E7"/>
    <w:rsid w:val="00652DA7"/>
    <w:rsid w:val="0065403A"/>
    <w:rsid w:val="0065423B"/>
    <w:rsid w:val="0065456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D6B"/>
    <w:rsid w:val="006904E1"/>
    <w:rsid w:val="0069090F"/>
    <w:rsid w:val="00691395"/>
    <w:rsid w:val="0069204B"/>
    <w:rsid w:val="0069234E"/>
    <w:rsid w:val="006928F3"/>
    <w:rsid w:val="00692970"/>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42C2"/>
    <w:rsid w:val="006B4378"/>
    <w:rsid w:val="006B5398"/>
    <w:rsid w:val="006B5B43"/>
    <w:rsid w:val="006B6387"/>
    <w:rsid w:val="006B6902"/>
    <w:rsid w:val="006B6A72"/>
    <w:rsid w:val="006C0553"/>
    <w:rsid w:val="006C1121"/>
    <w:rsid w:val="006C1842"/>
    <w:rsid w:val="006C220C"/>
    <w:rsid w:val="006C30B2"/>
    <w:rsid w:val="006C3112"/>
    <w:rsid w:val="006C446D"/>
    <w:rsid w:val="006C56AB"/>
    <w:rsid w:val="006C5803"/>
    <w:rsid w:val="006C586D"/>
    <w:rsid w:val="006C6C62"/>
    <w:rsid w:val="006C773F"/>
    <w:rsid w:val="006D0574"/>
    <w:rsid w:val="006D0AF0"/>
    <w:rsid w:val="006D2B91"/>
    <w:rsid w:val="006D2C17"/>
    <w:rsid w:val="006D3E4B"/>
    <w:rsid w:val="006D5DED"/>
    <w:rsid w:val="006D6106"/>
    <w:rsid w:val="006D74A1"/>
    <w:rsid w:val="006D773F"/>
    <w:rsid w:val="006D7C31"/>
    <w:rsid w:val="006E0775"/>
    <w:rsid w:val="006E0ABE"/>
    <w:rsid w:val="006E124E"/>
    <w:rsid w:val="006E1356"/>
    <w:rsid w:val="006E1666"/>
    <w:rsid w:val="006E1E9A"/>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74A6"/>
    <w:rsid w:val="007202AD"/>
    <w:rsid w:val="007207B0"/>
    <w:rsid w:val="00721F78"/>
    <w:rsid w:val="0072208D"/>
    <w:rsid w:val="007229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FC8"/>
    <w:rsid w:val="0074026C"/>
    <w:rsid w:val="00740516"/>
    <w:rsid w:val="0074102E"/>
    <w:rsid w:val="00741D02"/>
    <w:rsid w:val="007420C8"/>
    <w:rsid w:val="0074301C"/>
    <w:rsid w:val="00743589"/>
    <w:rsid w:val="007437B3"/>
    <w:rsid w:val="00745304"/>
    <w:rsid w:val="007457F6"/>
    <w:rsid w:val="0074619F"/>
    <w:rsid w:val="007461E8"/>
    <w:rsid w:val="00746395"/>
    <w:rsid w:val="00750BE8"/>
    <w:rsid w:val="00750FEB"/>
    <w:rsid w:val="007513FD"/>
    <w:rsid w:val="00753778"/>
    <w:rsid w:val="00753F61"/>
    <w:rsid w:val="00756BE5"/>
    <w:rsid w:val="00757060"/>
    <w:rsid w:val="00762137"/>
    <w:rsid w:val="0076249C"/>
    <w:rsid w:val="00762F50"/>
    <w:rsid w:val="0076349B"/>
    <w:rsid w:val="00766455"/>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318F"/>
    <w:rsid w:val="0078337A"/>
    <w:rsid w:val="00784850"/>
    <w:rsid w:val="007851BA"/>
    <w:rsid w:val="00785871"/>
    <w:rsid w:val="00785D32"/>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86F"/>
    <w:rsid w:val="00793A0A"/>
    <w:rsid w:val="007949D9"/>
    <w:rsid w:val="00794E0B"/>
    <w:rsid w:val="00795711"/>
    <w:rsid w:val="0079591F"/>
    <w:rsid w:val="00797F6F"/>
    <w:rsid w:val="007A0720"/>
    <w:rsid w:val="007A24D4"/>
    <w:rsid w:val="007A2672"/>
    <w:rsid w:val="007A34B4"/>
    <w:rsid w:val="007A4341"/>
    <w:rsid w:val="007A441A"/>
    <w:rsid w:val="007A5A57"/>
    <w:rsid w:val="007A6495"/>
    <w:rsid w:val="007A6B9B"/>
    <w:rsid w:val="007B0188"/>
    <w:rsid w:val="007B0E9C"/>
    <w:rsid w:val="007B1325"/>
    <w:rsid w:val="007B14DE"/>
    <w:rsid w:val="007B1664"/>
    <w:rsid w:val="007B19B4"/>
    <w:rsid w:val="007B2159"/>
    <w:rsid w:val="007B263C"/>
    <w:rsid w:val="007B400E"/>
    <w:rsid w:val="007B48E9"/>
    <w:rsid w:val="007B6323"/>
    <w:rsid w:val="007B6C4A"/>
    <w:rsid w:val="007B7204"/>
    <w:rsid w:val="007B7D3C"/>
    <w:rsid w:val="007C127D"/>
    <w:rsid w:val="007C2D1E"/>
    <w:rsid w:val="007C30C8"/>
    <w:rsid w:val="007C40D1"/>
    <w:rsid w:val="007C42AE"/>
    <w:rsid w:val="007C4435"/>
    <w:rsid w:val="007C4AA2"/>
    <w:rsid w:val="007C547B"/>
    <w:rsid w:val="007C5B96"/>
    <w:rsid w:val="007C6752"/>
    <w:rsid w:val="007C6979"/>
    <w:rsid w:val="007D03D3"/>
    <w:rsid w:val="007D0A40"/>
    <w:rsid w:val="007D0CE2"/>
    <w:rsid w:val="007D0EFB"/>
    <w:rsid w:val="007D0F39"/>
    <w:rsid w:val="007D20D4"/>
    <w:rsid w:val="007D4499"/>
    <w:rsid w:val="007D47EF"/>
    <w:rsid w:val="007D4E93"/>
    <w:rsid w:val="007D6685"/>
    <w:rsid w:val="007D7011"/>
    <w:rsid w:val="007D7830"/>
    <w:rsid w:val="007D7ED5"/>
    <w:rsid w:val="007E0276"/>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78"/>
    <w:rsid w:val="007F4F97"/>
    <w:rsid w:val="007F54D5"/>
    <w:rsid w:val="007F7084"/>
    <w:rsid w:val="007F736D"/>
    <w:rsid w:val="007F7780"/>
    <w:rsid w:val="008002ED"/>
    <w:rsid w:val="008012ED"/>
    <w:rsid w:val="00801B32"/>
    <w:rsid w:val="00801B5F"/>
    <w:rsid w:val="0080204C"/>
    <w:rsid w:val="00802949"/>
    <w:rsid w:val="00803102"/>
    <w:rsid w:val="0080364E"/>
    <w:rsid w:val="008048D8"/>
    <w:rsid w:val="00804FE5"/>
    <w:rsid w:val="008053B2"/>
    <w:rsid w:val="008062DA"/>
    <w:rsid w:val="008067E7"/>
    <w:rsid w:val="00806844"/>
    <w:rsid w:val="0080694B"/>
    <w:rsid w:val="00807863"/>
    <w:rsid w:val="00810BC3"/>
    <w:rsid w:val="008115DB"/>
    <w:rsid w:val="0081174A"/>
    <w:rsid w:val="008139D4"/>
    <w:rsid w:val="00814C5D"/>
    <w:rsid w:val="00816FFB"/>
    <w:rsid w:val="00820701"/>
    <w:rsid w:val="00820968"/>
    <w:rsid w:val="00820D2B"/>
    <w:rsid w:val="008217D0"/>
    <w:rsid w:val="00821B76"/>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40196"/>
    <w:rsid w:val="008403AD"/>
    <w:rsid w:val="00841495"/>
    <w:rsid w:val="008414EE"/>
    <w:rsid w:val="0084337C"/>
    <w:rsid w:val="00843DBD"/>
    <w:rsid w:val="00844E58"/>
    <w:rsid w:val="0084529F"/>
    <w:rsid w:val="0085020C"/>
    <w:rsid w:val="00851270"/>
    <w:rsid w:val="00851EB3"/>
    <w:rsid w:val="008536ED"/>
    <w:rsid w:val="00853E9A"/>
    <w:rsid w:val="00853EF6"/>
    <w:rsid w:val="008541A7"/>
    <w:rsid w:val="00854FB5"/>
    <w:rsid w:val="00855B25"/>
    <w:rsid w:val="008572A7"/>
    <w:rsid w:val="00860183"/>
    <w:rsid w:val="0086023C"/>
    <w:rsid w:val="00860457"/>
    <w:rsid w:val="008612CC"/>
    <w:rsid w:val="00861664"/>
    <w:rsid w:val="0086503A"/>
    <w:rsid w:val="008655D3"/>
    <w:rsid w:val="00865CEB"/>
    <w:rsid w:val="00865EBD"/>
    <w:rsid w:val="00866054"/>
    <w:rsid w:val="00866614"/>
    <w:rsid w:val="00870941"/>
    <w:rsid w:val="00872006"/>
    <w:rsid w:val="00873954"/>
    <w:rsid w:val="00874334"/>
    <w:rsid w:val="00875146"/>
    <w:rsid w:val="00875F6F"/>
    <w:rsid w:val="00876689"/>
    <w:rsid w:val="00877376"/>
    <w:rsid w:val="00877FC7"/>
    <w:rsid w:val="00880C65"/>
    <w:rsid w:val="0088123D"/>
    <w:rsid w:val="00881368"/>
    <w:rsid w:val="00881766"/>
    <w:rsid w:val="008817D0"/>
    <w:rsid w:val="008821DD"/>
    <w:rsid w:val="0088251D"/>
    <w:rsid w:val="0088324F"/>
    <w:rsid w:val="0088335E"/>
    <w:rsid w:val="00884913"/>
    <w:rsid w:val="00885445"/>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C57"/>
    <w:rsid w:val="00896A67"/>
    <w:rsid w:val="00896CA9"/>
    <w:rsid w:val="008A1D3D"/>
    <w:rsid w:val="008A2049"/>
    <w:rsid w:val="008A24C1"/>
    <w:rsid w:val="008A2D22"/>
    <w:rsid w:val="008A37C4"/>
    <w:rsid w:val="008A37EE"/>
    <w:rsid w:val="008A43C6"/>
    <w:rsid w:val="008A4E06"/>
    <w:rsid w:val="008A5C2D"/>
    <w:rsid w:val="008A5EC2"/>
    <w:rsid w:val="008A67A3"/>
    <w:rsid w:val="008A7BC7"/>
    <w:rsid w:val="008A7E6E"/>
    <w:rsid w:val="008B0C64"/>
    <w:rsid w:val="008B163D"/>
    <w:rsid w:val="008B1D94"/>
    <w:rsid w:val="008B23D0"/>
    <w:rsid w:val="008B2555"/>
    <w:rsid w:val="008B2948"/>
    <w:rsid w:val="008B2F72"/>
    <w:rsid w:val="008B3A4A"/>
    <w:rsid w:val="008B3C68"/>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7E6"/>
    <w:rsid w:val="008D1353"/>
    <w:rsid w:val="008D150E"/>
    <w:rsid w:val="008D1E9D"/>
    <w:rsid w:val="008D30EA"/>
    <w:rsid w:val="008D38E4"/>
    <w:rsid w:val="008D5011"/>
    <w:rsid w:val="008D617A"/>
    <w:rsid w:val="008D64DE"/>
    <w:rsid w:val="008D671A"/>
    <w:rsid w:val="008D6DA7"/>
    <w:rsid w:val="008D6E7F"/>
    <w:rsid w:val="008D706D"/>
    <w:rsid w:val="008D70AB"/>
    <w:rsid w:val="008D78EE"/>
    <w:rsid w:val="008D7987"/>
    <w:rsid w:val="008D7F65"/>
    <w:rsid w:val="008E011F"/>
    <w:rsid w:val="008E15AE"/>
    <w:rsid w:val="008E1946"/>
    <w:rsid w:val="008E2475"/>
    <w:rsid w:val="008E2EEE"/>
    <w:rsid w:val="008E377D"/>
    <w:rsid w:val="008E38C3"/>
    <w:rsid w:val="008E3DB7"/>
    <w:rsid w:val="008E437E"/>
    <w:rsid w:val="008E4785"/>
    <w:rsid w:val="008E478E"/>
    <w:rsid w:val="008E4C4C"/>
    <w:rsid w:val="008F053A"/>
    <w:rsid w:val="008F10DD"/>
    <w:rsid w:val="008F1601"/>
    <w:rsid w:val="008F2722"/>
    <w:rsid w:val="008F3862"/>
    <w:rsid w:val="008F46C3"/>
    <w:rsid w:val="008F51EF"/>
    <w:rsid w:val="008F62CC"/>
    <w:rsid w:val="008F6578"/>
    <w:rsid w:val="008F77FC"/>
    <w:rsid w:val="00900FC8"/>
    <w:rsid w:val="00901956"/>
    <w:rsid w:val="00901D87"/>
    <w:rsid w:val="00901EC8"/>
    <w:rsid w:val="00902774"/>
    <w:rsid w:val="00903735"/>
    <w:rsid w:val="009037B5"/>
    <w:rsid w:val="00903A4E"/>
    <w:rsid w:val="00903C9E"/>
    <w:rsid w:val="0090423A"/>
    <w:rsid w:val="00904721"/>
    <w:rsid w:val="00906276"/>
    <w:rsid w:val="0090720B"/>
    <w:rsid w:val="0090754F"/>
    <w:rsid w:val="00907BC4"/>
    <w:rsid w:val="00910A16"/>
    <w:rsid w:val="00911A55"/>
    <w:rsid w:val="00912753"/>
    <w:rsid w:val="00912985"/>
    <w:rsid w:val="00912F1B"/>
    <w:rsid w:val="00912F46"/>
    <w:rsid w:val="00913428"/>
    <w:rsid w:val="00915ABF"/>
    <w:rsid w:val="00915B01"/>
    <w:rsid w:val="009170BD"/>
    <w:rsid w:val="00917958"/>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D88"/>
    <w:rsid w:val="009322FC"/>
    <w:rsid w:val="00933494"/>
    <w:rsid w:val="00933518"/>
    <w:rsid w:val="00934D5D"/>
    <w:rsid w:val="00936FC4"/>
    <w:rsid w:val="0093776C"/>
    <w:rsid w:val="00937771"/>
    <w:rsid w:val="00942C3C"/>
    <w:rsid w:val="0094309B"/>
    <w:rsid w:val="00943AC8"/>
    <w:rsid w:val="00944603"/>
    <w:rsid w:val="0094489F"/>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1A2"/>
    <w:rsid w:val="0096060C"/>
    <w:rsid w:val="00961136"/>
    <w:rsid w:val="00961142"/>
    <w:rsid w:val="009616B2"/>
    <w:rsid w:val="00963999"/>
    <w:rsid w:val="009639A2"/>
    <w:rsid w:val="00963F09"/>
    <w:rsid w:val="00963FAD"/>
    <w:rsid w:val="009667B6"/>
    <w:rsid w:val="00967FFD"/>
    <w:rsid w:val="00970909"/>
    <w:rsid w:val="009709A5"/>
    <w:rsid w:val="0097140F"/>
    <w:rsid w:val="009724F3"/>
    <w:rsid w:val="00972D7A"/>
    <w:rsid w:val="0097350F"/>
    <w:rsid w:val="00974F6F"/>
    <w:rsid w:val="00976AF1"/>
    <w:rsid w:val="00977D65"/>
    <w:rsid w:val="00982BE4"/>
    <w:rsid w:val="00982FE0"/>
    <w:rsid w:val="00983944"/>
    <w:rsid w:val="00984582"/>
    <w:rsid w:val="009845F3"/>
    <w:rsid w:val="00986537"/>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5C1B"/>
    <w:rsid w:val="0099731B"/>
    <w:rsid w:val="009973EC"/>
    <w:rsid w:val="00997C69"/>
    <w:rsid w:val="009A0FDA"/>
    <w:rsid w:val="009A33F0"/>
    <w:rsid w:val="009A4172"/>
    <w:rsid w:val="009A4A68"/>
    <w:rsid w:val="009A5C1B"/>
    <w:rsid w:val="009A75BC"/>
    <w:rsid w:val="009B05A0"/>
    <w:rsid w:val="009B10AF"/>
    <w:rsid w:val="009B1569"/>
    <w:rsid w:val="009B1654"/>
    <w:rsid w:val="009B326D"/>
    <w:rsid w:val="009B6F03"/>
    <w:rsid w:val="009B7ABB"/>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679"/>
    <w:rsid w:val="009D06E6"/>
    <w:rsid w:val="009D08AC"/>
    <w:rsid w:val="009D1AFE"/>
    <w:rsid w:val="009D28D8"/>
    <w:rsid w:val="009D42A3"/>
    <w:rsid w:val="009D42D3"/>
    <w:rsid w:val="009D4BF4"/>
    <w:rsid w:val="009D582C"/>
    <w:rsid w:val="009D5EC3"/>
    <w:rsid w:val="009D623C"/>
    <w:rsid w:val="009D6700"/>
    <w:rsid w:val="009E0427"/>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3072"/>
    <w:rsid w:val="00A235E4"/>
    <w:rsid w:val="00A24CF4"/>
    <w:rsid w:val="00A2588F"/>
    <w:rsid w:val="00A259C6"/>
    <w:rsid w:val="00A260B4"/>
    <w:rsid w:val="00A27ADB"/>
    <w:rsid w:val="00A30101"/>
    <w:rsid w:val="00A308A8"/>
    <w:rsid w:val="00A30F64"/>
    <w:rsid w:val="00A312DF"/>
    <w:rsid w:val="00A3261F"/>
    <w:rsid w:val="00A329C8"/>
    <w:rsid w:val="00A335F2"/>
    <w:rsid w:val="00A337EF"/>
    <w:rsid w:val="00A34FDE"/>
    <w:rsid w:val="00A36024"/>
    <w:rsid w:val="00A3670D"/>
    <w:rsid w:val="00A37BE6"/>
    <w:rsid w:val="00A37FBC"/>
    <w:rsid w:val="00A40B79"/>
    <w:rsid w:val="00A40CCE"/>
    <w:rsid w:val="00A41796"/>
    <w:rsid w:val="00A41835"/>
    <w:rsid w:val="00A41B56"/>
    <w:rsid w:val="00A44567"/>
    <w:rsid w:val="00A445BD"/>
    <w:rsid w:val="00A44F5F"/>
    <w:rsid w:val="00A4648A"/>
    <w:rsid w:val="00A47234"/>
    <w:rsid w:val="00A476E2"/>
    <w:rsid w:val="00A478A7"/>
    <w:rsid w:val="00A47E2E"/>
    <w:rsid w:val="00A525AA"/>
    <w:rsid w:val="00A53051"/>
    <w:rsid w:val="00A5431E"/>
    <w:rsid w:val="00A55921"/>
    <w:rsid w:val="00A5594B"/>
    <w:rsid w:val="00A57010"/>
    <w:rsid w:val="00A6081A"/>
    <w:rsid w:val="00A6090D"/>
    <w:rsid w:val="00A60966"/>
    <w:rsid w:val="00A61AA3"/>
    <w:rsid w:val="00A61B49"/>
    <w:rsid w:val="00A62016"/>
    <w:rsid w:val="00A63F7D"/>
    <w:rsid w:val="00A6487A"/>
    <w:rsid w:val="00A64AB4"/>
    <w:rsid w:val="00A65C3B"/>
    <w:rsid w:val="00A70B77"/>
    <w:rsid w:val="00A71CB1"/>
    <w:rsid w:val="00A71E2E"/>
    <w:rsid w:val="00A72C01"/>
    <w:rsid w:val="00A73ABA"/>
    <w:rsid w:val="00A73B46"/>
    <w:rsid w:val="00A73FEF"/>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AAA"/>
    <w:rsid w:val="00A84EDA"/>
    <w:rsid w:val="00A85C52"/>
    <w:rsid w:val="00A8633C"/>
    <w:rsid w:val="00A86E5B"/>
    <w:rsid w:val="00A87B5F"/>
    <w:rsid w:val="00A87CCF"/>
    <w:rsid w:val="00A903B1"/>
    <w:rsid w:val="00A9143C"/>
    <w:rsid w:val="00A9337B"/>
    <w:rsid w:val="00A93614"/>
    <w:rsid w:val="00A93ABB"/>
    <w:rsid w:val="00A93DFE"/>
    <w:rsid w:val="00A94346"/>
    <w:rsid w:val="00A95A97"/>
    <w:rsid w:val="00A95F9F"/>
    <w:rsid w:val="00A963B1"/>
    <w:rsid w:val="00A96622"/>
    <w:rsid w:val="00A96BB0"/>
    <w:rsid w:val="00A97085"/>
    <w:rsid w:val="00AA01B4"/>
    <w:rsid w:val="00AA09DA"/>
    <w:rsid w:val="00AA0CF1"/>
    <w:rsid w:val="00AA0E92"/>
    <w:rsid w:val="00AA16F5"/>
    <w:rsid w:val="00AA19B9"/>
    <w:rsid w:val="00AA1EBE"/>
    <w:rsid w:val="00AA4AC9"/>
    <w:rsid w:val="00AA55A5"/>
    <w:rsid w:val="00AA60BA"/>
    <w:rsid w:val="00AA6298"/>
    <w:rsid w:val="00AA6EF3"/>
    <w:rsid w:val="00AB0FDE"/>
    <w:rsid w:val="00AB14F4"/>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A5C"/>
    <w:rsid w:val="00AF058C"/>
    <w:rsid w:val="00AF0DBE"/>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3A1A"/>
    <w:rsid w:val="00B03BFD"/>
    <w:rsid w:val="00B03CCF"/>
    <w:rsid w:val="00B03EAF"/>
    <w:rsid w:val="00B052C6"/>
    <w:rsid w:val="00B0590B"/>
    <w:rsid w:val="00B0607B"/>
    <w:rsid w:val="00B06309"/>
    <w:rsid w:val="00B0691B"/>
    <w:rsid w:val="00B07397"/>
    <w:rsid w:val="00B07ABA"/>
    <w:rsid w:val="00B10139"/>
    <w:rsid w:val="00B101DE"/>
    <w:rsid w:val="00B10BBD"/>
    <w:rsid w:val="00B1189C"/>
    <w:rsid w:val="00B1204F"/>
    <w:rsid w:val="00B1235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741B"/>
    <w:rsid w:val="00B57A41"/>
    <w:rsid w:val="00B57C05"/>
    <w:rsid w:val="00B60B02"/>
    <w:rsid w:val="00B60B5C"/>
    <w:rsid w:val="00B60F78"/>
    <w:rsid w:val="00B62958"/>
    <w:rsid w:val="00B64140"/>
    <w:rsid w:val="00B647A3"/>
    <w:rsid w:val="00B64ABE"/>
    <w:rsid w:val="00B66554"/>
    <w:rsid w:val="00B669DF"/>
    <w:rsid w:val="00B72510"/>
    <w:rsid w:val="00B740EF"/>
    <w:rsid w:val="00B76249"/>
    <w:rsid w:val="00B76272"/>
    <w:rsid w:val="00B766FE"/>
    <w:rsid w:val="00B76A24"/>
    <w:rsid w:val="00B803A8"/>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6A9"/>
    <w:rsid w:val="00B95CA7"/>
    <w:rsid w:val="00B96538"/>
    <w:rsid w:val="00B971D9"/>
    <w:rsid w:val="00B9766C"/>
    <w:rsid w:val="00BA0A5C"/>
    <w:rsid w:val="00BA0CFC"/>
    <w:rsid w:val="00BA15D2"/>
    <w:rsid w:val="00BA3622"/>
    <w:rsid w:val="00BA5D4B"/>
    <w:rsid w:val="00BA6349"/>
    <w:rsid w:val="00BA7064"/>
    <w:rsid w:val="00BA7158"/>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61"/>
    <w:rsid w:val="00BD37AA"/>
    <w:rsid w:val="00BD44E0"/>
    <w:rsid w:val="00BD5A48"/>
    <w:rsid w:val="00BD674F"/>
    <w:rsid w:val="00BE0610"/>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5A85"/>
    <w:rsid w:val="00BF600D"/>
    <w:rsid w:val="00BF64E7"/>
    <w:rsid w:val="00BF76EF"/>
    <w:rsid w:val="00C00A0B"/>
    <w:rsid w:val="00C0240D"/>
    <w:rsid w:val="00C03392"/>
    <w:rsid w:val="00C03D65"/>
    <w:rsid w:val="00C044FC"/>
    <w:rsid w:val="00C04D73"/>
    <w:rsid w:val="00C109BE"/>
    <w:rsid w:val="00C10E20"/>
    <w:rsid w:val="00C124FA"/>
    <w:rsid w:val="00C134BF"/>
    <w:rsid w:val="00C143F2"/>
    <w:rsid w:val="00C148F9"/>
    <w:rsid w:val="00C1657C"/>
    <w:rsid w:val="00C17748"/>
    <w:rsid w:val="00C177F3"/>
    <w:rsid w:val="00C20884"/>
    <w:rsid w:val="00C21B1E"/>
    <w:rsid w:val="00C230AE"/>
    <w:rsid w:val="00C236CE"/>
    <w:rsid w:val="00C25D96"/>
    <w:rsid w:val="00C25FBF"/>
    <w:rsid w:val="00C27855"/>
    <w:rsid w:val="00C27AFB"/>
    <w:rsid w:val="00C30232"/>
    <w:rsid w:val="00C30433"/>
    <w:rsid w:val="00C30EDD"/>
    <w:rsid w:val="00C3114F"/>
    <w:rsid w:val="00C31283"/>
    <w:rsid w:val="00C31D74"/>
    <w:rsid w:val="00C33449"/>
    <w:rsid w:val="00C33FCD"/>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513B"/>
    <w:rsid w:val="00C665CF"/>
    <w:rsid w:val="00C66B0A"/>
    <w:rsid w:val="00C676E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F84"/>
    <w:rsid w:val="00C84C96"/>
    <w:rsid w:val="00C84CC1"/>
    <w:rsid w:val="00C84FBA"/>
    <w:rsid w:val="00C85889"/>
    <w:rsid w:val="00C85A8D"/>
    <w:rsid w:val="00C86AE4"/>
    <w:rsid w:val="00C902C2"/>
    <w:rsid w:val="00C92345"/>
    <w:rsid w:val="00C92E04"/>
    <w:rsid w:val="00C939B4"/>
    <w:rsid w:val="00C9411A"/>
    <w:rsid w:val="00C94C47"/>
    <w:rsid w:val="00C95924"/>
    <w:rsid w:val="00C95CA4"/>
    <w:rsid w:val="00C95E30"/>
    <w:rsid w:val="00C97147"/>
    <w:rsid w:val="00CA0503"/>
    <w:rsid w:val="00CA06DD"/>
    <w:rsid w:val="00CA0C38"/>
    <w:rsid w:val="00CA1B05"/>
    <w:rsid w:val="00CA2EFA"/>
    <w:rsid w:val="00CA30F3"/>
    <w:rsid w:val="00CA3F7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33B1"/>
    <w:rsid w:val="00CB371F"/>
    <w:rsid w:val="00CB3F27"/>
    <w:rsid w:val="00CB4351"/>
    <w:rsid w:val="00CB4512"/>
    <w:rsid w:val="00CB4FF1"/>
    <w:rsid w:val="00CB5AC7"/>
    <w:rsid w:val="00CB5B22"/>
    <w:rsid w:val="00CB65F6"/>
    <w:rsid w:val="00CB6AA5"/>
    <w:rsid w:val="00CB6B30"/>
    <w:rsid w:val="00CB7AF5"/>
    <w:rsid w:val="00CC00F3"/>
    <w:rsid w:val="00CC0173"/>
    <w:rsid w:val="00CC0877"/>
    <w:rsid w:val="00CC09D6"/>
    <w:rsid w:val="00CC19A9"/>
    <w:rsid w:val="00CC2CFA"/>
    <w:rsid w:val="00CC2F20"/>
    <w:rsid w:val="00CC3952"/>
    <w:rsid w:val="00CC3B6D"/>
    <w:rsid w:val="00CC3D2A"/>
    <w:rsid w:val="00CC3F5B"/>
    <w:rsid w:val="00CC419C"/>
    <w:rsid w:val="00CC5585"/>
    <w:rsid w:val="00CC6566"/>
    <w:rsid w:val="00CC745D"/>
    <w:rsid w:val="00CD10F7"/>
    <w:rsid w:val="00CD1C08"/>
    <w:rsid w:val="00CD1C38"/>
    <w:rsid w:val="00CD2897"/>
    <w:rsid w:val="00CD38B5"/>
    <w:rsid w:val="00CD6622"/>
    <w:rsid w:val="00CD6D21"/>
    <w:rsid w:val="00CD7660"/>
    <w:rsid w:val="00CD7C32"/>
    <w:rsid w:val="00CE053D"/>
    <w:rsid w:val="00CE0960"/>
    <w:rsid w:val="00CE1930"/>
    <w:rsid w:val="00CE1EAC"/>
    <w:rsid w:val="00CE2350"/>
    <w:rsid w:val="00CE3579"/>
    <w:rsid w:val="00CE401D"/>
    <w:rsid w:val="00CE4943"/>
    <w:rsid w:val="00CE55F4"/>
    <w:rsid w:val="00CE5B92"/>
    <w:rsid w:val="00CF41DE"/>
    <w:rsid w:val="00CF41E6"/>
    <w:rsid w:val="00CF5E3F"/>
    <w:rsid w:val="00CF66EF"/>
    <w:rsid w:val="00CF73FB"/>
    <w:rsid w:val="00D00C28"/>
    <w:rsid w:val="00D0220E"/>
    <w:rsid w:val="00D034B9"/>
    <w:rsid w:val="00D04107"/>
    <w:rsid w:val="00D04997"/>
    <w:rsid w:val="00D04B32"/>
    <w:rsid w:val="00D051D6"/>
    <w:rsid w:val="00D054B0"/>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528C"/>
    <w:rsid w:val="00D45AE2"/>
    <w:rsid w:val="00D45CF2"/>
    <w:rsid w:val="00D45F7A"/>
    <w:rsid w:val="00D46B73"/>
    <w:rsid w:val="00D47746"/>
    <w:rsid w:val="00D50092"/>
    <w:rsid w:val="00D524E6"/>
    <w:rsid w:val="00D529FA"/>
    <w:rsid w:val="00D53CAA"/>
    <w:rsid w:val="00D548E7"/>
    <w:rsid w:val="00D549C1"/>
    <w:rsid w:val="00D6089A"/>
    <w:rsid w:val="00D6154B"/>
    <w:rsid w:val="00D61A64"/>
    <w:rsid w:val="00D62B77"/>
    <w:rsid w:val="00D62F54"/>
    <w:rsid w:val="00D63A30"/>
    <w:rsid w:val="00D64215"/>
    <w:rsid w:val="00D6458B"/>
    <w:rsid w:val="00D64968"/>
    <w:rsid w:val="00D64E67"/>
    <w:rsid w:val="00D6780A"/>
    <w:rsid w:val="00D713A8"/>
    <w:rsid w:val="00D71666"/>
    <w:rsid w:val="00D72050"/>
    <w:rsid w:val="00D7272B"/>
    <w:rsid w:val="00D73344"/>
    <w:rsid w:val="00D733B8"/>
    <w:rsid w:val="00D74C18"/>
    <w:rsid w:val="00D74F84"/>
    <w:rsid w:val="00D75A5D"/>
    <w:rsid w:val="00D7644B"/>
    <w:rsid w:val="00D76BA0"/>
    <w:rsid w:val="00D76D5C"/>
    <w:rsid w:val="00D77128"/>
    <w:rsid w:val="00D8050F"/>
    <w:rsid w:val="00D80715"/>
    <w:rsid w:val="00D80DE5"/>
    <w:rsid w:val="00D81038"/>
    <w:rsid w:val="00D81F89"/>
    <w:rsid w:val="00D8257C"/>
    <w:rsid w:val="00D82606"/>
    <w:rsid w:val="00D83C3C"/>
    <w:rsid w:val="00D85D26"/>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3B12"/>
    <w:rsid w:val="00DB3BB7"/>
    <w:rsid w:val="00DB5167"/>
    <w:rsid w:val="00DB5DE2"/>
    <w:rsid w:val="00DB5ECE"/>
    <w:rsid w:val="00DB66E8"/>
    <w:rsid w:val="00DB7144"/>
    <w:rsid w:val="00DB7A70"/>
    <w:rsid w:val="00DB7CB6"/>
    <w:rsid w:val="00DC01A2"/>
    <w:rsid w:val="00DC1120"/>
    <w:rsid w:val="00DC13F6"/>
    <w:rsid w:val="00DC16D5"/>
    <w:rsid w:val="00DC18D8"/>
    <w:rsid w:val="00DC2630"/>
    <w:rsid w:val="00DC2BEB"/>
    <w:rsid w:val="00DC5735"/>
    <w:rsid w:val="00DC5929"/>
    <w:rsid w:val="00DC664A"/>
    <w:rsid w:val="00DC6959"/>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7E"/>
    <w:rsid w:val="00DE2FCD"/>
    <w:rsid w:val="00DE510D"/>
    <w:rsid w:val="00DE6DFC"/>
    <w:rsid w:val="00DE7F7E"/>
    <w:rsid w:val="00DF0BD3"/>
    <w:rsid w:val="00DF1012"/>
    <w:rsid w:val="00DF1286"/>
    <w:rsid w:val="00DF1EC7"/>
    <w:rsid w:val="00DF1F7D"/>
    <w:rsid w:val="00DF28D6"/>
    <w:rsid w:val="00DF2A21"/>
    <w:rsid w:val="00DF458C"/>
    <w:rsid w:val="00DF656D"/>
    <w:rsid w:val="00DF6774"/>
    <w:rsid w:val="00DF6F49"/>
    <w:rsid w:val="00E0134B"/>
    <w:rsid w:val="00E01B4C"/>
    <w:rsid w:val="00E03647"/>
    <w:rsid w:val="00E03827"/>
    <w:rsid w:val="00E040D3"/>
    <w:rsid w:val="00E04A67"/>
    <w:rsid w:val="00E04BAE"/>
    <w:rsid w:val="00E04C14"/>
    <w:rsid w:val="00E04DC9"/>
    <w:rsid w:val="00E050DE"/>
    <w:rsid w:val="00E06AAB"/>
    <w:rsid w:val="00E0707A"/>
    <w:rsid w:val="00E11DDE"/>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7075"/>
    <w:rsid w:val="00E37243"/>
    <w:rsid w:val="00E37998"/>
    <w:rsid w:val="00E408A2"/>
    <w:rsid w:val="00E40A35"/>
    <w:rsid w:val="00E41C4B"/>
    <w:rsid w:val="00E422B8"/>
    <w:rsid w:val="00E42C1B"/>
    <w:rsid w:val="00E44127"/>
    <w:rsid w:val="00E44D2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5FED"/>
    <w:rsid w:val="00E566C0"/>
    <w:rsid w:val="00E56AF7"/>
    <w:rsid w:val="00E61645"/>
    <w:rsid w:val="00E61896"/>
    <w:rsid w:val="00E61EBB"/>
    <w:rsid w:val="00E62FAB"/>
    <w:rsid w:val="00E63795"/>
    <w:rsid w:val="00E63A37"/>
    <w:rsid w:val="00E63EE3"/>
    <w:rsid w:val="00E6482F"/>
    <w:rsid w:val="00E66272"/>
    <w:rsid w:val="00E66964"/>
    <w:rsid w:val="00E670C6"/>
    <w:rsid w:val="00E71628"/>
    <w:rsid w:val="00E71F29"/>
    <w:rsid w:val="00E7303B"/>
    <w:rsid w:val="00E736A2"/>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497"/>
    <w:rsid w:val="00E8262B"/>
    <w:rsid w:val="00E82D30"/>
    <w:rsid w:val="00E84E6A"/>
    <w:rsid w:val="00E85AB5"/>
    <w:rsid w:val="00E8687F"/>
    <w:rsid w:val="00E874C0"/>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7AA"/>
    <w:rsid w:val="00EA2A36"/>
    <w:rsid w:val="00EA3CBF"/>
    <w:rsid w:val="00EA4FD1"/>
    <w:rsid w:val="00EA509E"/>
    <w:rsid w:val="00EA5D97"/>
    <w:rsid w:val="00EA635B"/>
    <w:rsid w:val="00EA69AB"/>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F7"/>
    <w:rsid w:val="00EC58E7"/>
    <w:rsid w:val="00EC5977"/>
    <w:rsid w:val="00EC7C37"/>
    <w:rsid w:val="00EC7FDC"/>
    <w:rsid w:val="00ED0BE0"/>
    <w:rsid w:val="00ED15B6"/>
    <w:rsid w:val="00ED187B"/>
    <w:rsid w:val="00ED1A2B"/>
    <w:rsid w:val="00ED33E9"/>
    <w:rsid w:val="00ED4A7F"/>
    <w:rsid w:val="00ED4B93"/>
    <w:rsid w:val="00ED53E4"/>
    <w:rsid w:val="00ED660A"/>
    <w:rsid w:val="00ED6BAA"/>
    <w:rsid w:val="00ED7DB8"/>
    <w:rsid w:val="00EE0ADF"/>
    <w:rsid w:val="00EE11A1"/>
    <w:rsid w:val="00EE45D9"/>
    <w:rsid w:val="00EE515E"/>
    <w:rsid w:val="00EE66CC"/>
    <w:rsid w:val="00EF047C"/>
    <w:rsid w:val="00EF0ADD"/>
    <w:rsid w:val="00EF1914"/>
    <w:rsid w:val="00EF326D"/>
    <w:rsid w:val="00EF3CCA"/>
    <w:rsid w:val="00EF3D4B"/>
    <w:rsid w:val="00EF49EA"/>
    <w:rsid w:val="00EF60E0"/>
    <w:rsid w:val="00EF628A"/>
    <w:rsid w:val="00EF6AD9"/>
    <w:rsid w:val="00EF6D46"/>
    <w:rsid w:val="00F0062A"/>
    <w:rsid w:val="00F00C52"/>
    <w:rsid w:val="00F02325"/>
    <w:rsid w:val="00F04895"/>
    <w:rsid w:val="00F04A43"/>
    <w:rsid w:val="00F0619E"/>
    <w:rsid w:val="00F06F22"/>
    <w:rsid w:val="00F107CA"/>
    <w:rsid w:val="00F11C32"/>
    <w:rsid w:val="00F12148"/>
    <w:rsid w:val="00F12287"/>
    <w:rsid w:val="00F123F3"/>
    <w:rsid w:val="00F135AA"/>
    <w:rsid w:val="00F137CA"/>
    <w:rsid w:val="00F13F16"/>
    <w:rsid w:val="00F14D34"/>
    <w:rsid w:val="00F14F41"/>
    <w:rsid w:val="00F162C1"/>
    <w:rsid w:val="00F17C90"/>
    <w:rsid w:val="00F17E2F"/>
    <w:rsid w:val="00F20FB4"/>
    <w:rsid w:val="00F2417E"/>
    <w:rsid w:val="00F25AB9"/>
    <w:rsid w:val="00F26858"/>
    <w:rsid w:val="00F26FB2"/>
    <w:rsid w:val="00F27E8D"/>
    <w:rsid w:val="00F30961"/>
    <w:rsid w:val="00F30A3B"/>
    <w:rsid w:val="00F30B70"/>
    <w:rsid w:val="00F30F53"/>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503"/>
    <w:rsid w:val="00F4521E"/>
    <w:rsid w:val="00F45297"/>
    <w:rsid w:val="00F465F4"/>
    <w:rsid w:val="00F468EF"/>
    <w:rsid w:val="00F4692E"/>
    <w:rsid w:val="00F47606"/>
    <w:rsid w:val="00F4767B"/>
    <w:rsid w:val="00F50B61"/>
    <w:rsid w:val="00F51010"/>
    <w:rsid w:val="00F51C2C"/>
    <w:rsid w:val="00F525CB"/>
    <w:rsid w:val="00F540AC"/>
    <w:rsid w:val="00F544F3"/>
    <w:rsid w:val="00F5452E"/>
    <w:rsid w:val="00F55A50"/>
    <w:rsid w:val="00F55D34"/>
    <w:rsid w:val="00F561D3"/>
    <w:rsid w:val="00F56995"/>
    <w:rsid w:val="00F56D9C"/>
    <w:rsid w:val="00F56F24"/>
    <w:rsid w:val="00F57CC5"/>
    <w:rsid w:val="00F60142"/>
    <w:rsid w:val="00F60D54"/>
    <w:rsid w:val="00F61405"/>
    <w:rsid w:val="00F61BE6"/>
    <w:rsid w:val="00F61EBB"/>
    <w:rsid w:val="00F62EBE"/>
    <w:rsid w:val="00F63740"/>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D38"/>
    <w:rsid w:val="00F74B6B"/>
    <w:rsid w:val="00F75636"/>
    <w:rsid w:val="00F75D02"/>
    <w:rsid w:val="00F75DAF"/>
    <w:rsid w:val="00F764AB"/>
    <w:rsid w:val="00F7661F"/>
    <w:rsid w:val="00F76C8E"/>
    <w:rsid w:val="00F80619"/>
    <w:rsid w:val="00F80D16"/>
    <w:rsid w:val="00F81EF4"/>
    <w:rsid w:val="00F81F34"/>
    <w:rsid w:val="00F82CD6"/>
    <w:rsid w:val="00F83112"/>
    <w:rsid w:val="00F831BF"/>
    <w:rsid w:val="00F83599"/>
    <w:rsid w:val="00F861E4"/>
    <w:rsid w:val="00F86CA3"/>
    <w:rsid w:val="00F8723E"/>
    <w:rsid w:val="00F872EA"/>
    <w:rsid w:val="00F9007C"/>
    <w:rsid w:val="00F90E70"/>
    <w:rsid w:val="00F9183A"/>
    <w:rsid w:val="00F91A44"/>
    <w:rsid w:val="00F92534"/>
    <w:rsid w:val="00F939EE"/>
    <w:rsid w:val="00F94778"/>
    <w:rsid w:val="00F94B3C"/>
    <w:rsid w:val="00F94DFF"/>
    <w:rsid w:val="00F96250"/>
    <w:rsid w:val="00F9679E"/>
    <w:rsid w:val="00F96EAD"/>
    <w:rsid w:val="00F97369"/>
    <w:rsid w:val="00F97580"/>
    <w:rsid w:val="00FA038A"/>
    <w:rsid w:val="00FA0C8F"/>
    <w:rsid w:val="00FA0FA8"/>
    <w:rsid w:val="00FA1A42"/>
    <w:rsid w:val="00FA2203"/>
    <w:rsid w:val="00FA24A8"/>
    <w:rsid w:val="00FA27A6"/>
    <w:rsid w:val="00FA3708"/>
    <w:rsid w:val="00FA3AF6"/>
    <w:rsid w:val="00FA3C33"/>
    <w:rsid w:val="00FA540C"/>
    <w:rsid w:val="00FA5C4C"/>
    <w:rsid w:val="00FA67A2"/>
    <w:rsid w:val="00FA7CF9"/>
    <w:rsid w:val="00FA7E1C"/>
    <w:rsid w:val="00FB0A4D"/>
    <w:rsid w:val="00FB0B20"/>
    <w:rsid w:val="00FB185D"/>
    <w:rsid w:val="00FB2778"/>
    <w:rsid w:val="00FB2E08"/>
    <w:rsid w:val="00FB32DA"/>
    <w:rsid w:val="00FB36C6"/>
    <w:rsid w:val="00FB3CA2"/>
    <w:rsid w:val="00FB4C63"/>
    <w:rsid w:val="00FB5805"/>
    <w:rsid w:val="00FB6B51"/>
    <w:rsid w:val="00FC0E9C"/>
    <w:rsid w:val="00FC112C"/>
    <w:rsid w:val="00FC27A4"/>
    <w:rsid w:val="00FC3566"/>
    <w:rsid w:val="00FC402C"/>
    <w:rsid w:val="00FC436E"/>
    <w:rsid w:val="00FC4817"/>
    <w:rsid w:val="00FC5D64"/>
    <w:rsid w:val="00FC76BC"/>
    <w:rsid w:val="00FD00A4"/>
    <w:rsid w:val="00FD0359"/>
    <w:rsid w:val="00FD16B0"/>
    <w:rsid w:val="00FD1DCD"/>
    <w:rsid w:val="00FD1F02"/>
    <w:rsid w:val="00FD2AF1"/>
    <w:rsid w:val="00FD3F3C"/>
    <w:rsid w:val="00FD55E2"/>
    <w:rsid w:val="00FD5E96"/>
    <w:rsid w:val="00FD6BB1"/>
    <w:rsid w:val="00FD7C6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295B"/>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uiPriority w:val="99"/>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rsid w:val="00CC2CFA"/>
    <w:pPr>
      <w:spacing w:line="360" w:lineRule="auto"/>
      <w:ind w:firstLineChars="200" w:firstLine="480"/>
    </w:pPr>
  </w:style>
  <w:style w:type="character" w:customStyle="1" w:styleId="Char4">
    <w:name w:val="报告正文 Char"/>
    <w:basedOn w:val="a1"/>
    <w:link w:val="ad"/>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uiPriority w:val="35"/>
    <w:unhideWhenUsed/>
    <w:qFormat/>
    <w:rsid w:val="00E51B3E"/>
    <w:rPr>
      <w:rFonts w:ascii="Cambria" w:eastAsia="黑体" w:hAnsi="Cambria" w:cs="Times New Roman"/>
      <w:sz w:val="20"/>
    </w:rPr>
  </w:style>
  <w:style w:type="paragraph" w:styleId="af1">
    <w:name w:val="Balloon Text"/>
    <w:basedOn w:val="a0"/>
    <w:link w:val="Char6"/>
    <w:uiPriority w:val="99"/>
    <w:unhideWhenUsed/>
    <w:rsid w:val="00AC6A52"/>
    <w:rPr>
      <w:rFonts w:ascii="Calibri" w:hAnsi="Calibri" w:cs="Times New Roman"/>
      <w:sz w:val="18"/>
      <w:szCs w:val="18"/>
    </w:rPr>
  </w:style>
  <w:style w:type="character" w:customStyle="1" w:styleId="Char6">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7"/>
    <w:rsid w:val="00C6102B"/>
    <w:pPr>
      <w:spacing w:line="480" w:lineRule="exact"/>
      <w:ind w:firstLineChars="200" w:firstLine="600"/>
    </w:pPr>
    <w:rPr>
      <w:rFonts w:ascii="仿宋_GB2312" w:eastAsia="仿宋_GB2312"/>
      <w:sz w:val="30"/>
    </w:rPr>
  </w:style>
  <w:style w:type="character" w:customStyle="1" w:styleId="Char7">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8"/>
    <w:rsid w:val="00704141"/>
    <w:pPr>
      <w:ind w:leftChars="2500" w:left="100"/>
    </w:pPr>
  </w:style>
  <w:style w:type="character" w:customStyle="1" w:styleId="Char8">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9"/>
    <w:rsid w:val="00056F45"/>
  </w:style>
  <w:style w:type="character" w:customStyle="1" w:styleId="Char9">
    <w:name w:val="批注文字 Char"/>
    <w:basedOn w:val="a1"/>
    <w:link w:val="af5"/>
    <w:rsid w:val="00056F45"/>
    <w:rPr>
      <w:rFonts w:ascii="宋体" w:hAnsi="宋体" w:cs="宋体"/>
      <w:sz w:val="24"/>
      <w:szCs w:val="24"/>
    </w:rPr>
  </w:style>
  <w:style w:type="paragraph" w:styleId="af6">
    <w:name w:val="annotation subject"/>
    <w:basedOn w:val="af5"/>
    <w:next w:val="af5"/>
    <w:link w:val="Chara"/>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a">
    <w:name w:val="批注主题 Char"/>
    <w:basedOn w:val="Char9"/>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6064-3142-4CCF-88EF-73810041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24</Pages>
  <Words>2156</Words>
  <Characters>12290</Characters>
  <Application>Microsoft Office Word</Application>
  <DocSecurity>0</DocSecurity>
  <Lines>102</Lines>
  <Paragraphs>28</Paragraphs>
  <ScaleCrop>false</ScaleCrop>
  <Company/>
  <LinksUpToDate>false</LinksUpToDate>
  <CharactersWithSpaces>14418</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34</cp:revision>
  <cp:lastPrinted>2011-07-01T07:23:00Z</cp:lastPrinted>
  <dcterms:created xsi:type="dcterms:W3CDTF">2019-06-24T06:34:00Z</dcterms:created>
  <dcterms:modified xsi:type="dcterms:W3CDTF">2011-07-03T01:43:00Z</dcterms:modified>
</cp:coreProperties>
</file>